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4" w:type="dxa"/>
        <w:tblLook w:val="0000" w:firstRow="0" w:lastRow="0" w:firstColumn="0" w:lastColumn="0" w:noHBand="0" w:noVBand="0"/>
      </w:tblPr>
      <w:tblGrid>
        <w:gridCol w:w="3456"/>
        <w:gridCol w:w="5472"/>
        <w:gridCol w:w="36"/>
      </w:tblGrid>
      <w:tr w:rsidR="007D2BDA" w:rsidRPr="007D7E0B" w:rsidTr="007D2BDA">
        <w:trPr>
          <w:gridAfter w:val="1"/>
          <w:wAfter w:w="36" w:type="dxa"/>
        </w:trPr>
        <w:tc>
          <w:tcPr>
            <w:tcW w:w="8928" w:type="dxa"/>
            <w:gridSpan w:val="2"/>
            <w:tcBorders>
              <w:bottom w:val="single" w:sz="18" w:space="0" w:color="auto"/>
            </w:tcBorders>
          </w:tcPr>
          <w:p w:rsidR="007D2BDA" w:rsidRDefault="007D2BDA" w:rsidP="00244120">
            <w:pPr>
              <w:pStyle w:val="Infotext"/>
              <w:rPr>
                <w:rFonts w:ascii="Arial Black" w:hAnsi="Arial Black"/>
                <w:color w:val="999999"/>
                <w:sz w:val="36"/>
                <w:szCs w:val="36"/>
              </w:rPr>
            </w:pPr>
          </w:p>
          <w:p w:rsidR="007D2BDA" w:rsidRDefault="00917F35" w:rsidP="00244120">
            <w:pPr>
              <w:pStyle w:val="Infotext"/>
              <w:rPr>
                <w:rFonts w:ascii="Arial Black" w:hAnsi="Arial Black"/>
                <w:color w:val="999999"/>
                <w:sz w:val="36"/>
                <w:szCs w:val="36"/>
              </w:rPr>
            </w:pPr>
            <w:r>
              <w:rPr>
                <w:rFonts w:ascii="Arial Black" w:hAnsi="Arial Black"/>
                <w:noProof/>
                <w:color w:val="999999"/>
                <w:sz w:val="36"/>
                <w:szCs w:val="3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5pt;margin-top:7.05pt;width:158.25pt;height:39.05pt;z-index:251657728;mso-position-horizontal-relative:margin;mso-position-vertical-relative:margin">
                  <v:imagedata r:id="rId8" o:title="Harrow Council Logo"/>
                  <w10:wrap type="square" anchorx="margin" anchory="margin"/>
                </v:shape>
              </w:pict>
            </w:r>
          </w:p>
          <w:p w:rsidR="007D2BDA" w:rsidRDefault="007D2BDA" w:rsidP="00244120">
            <w:pPr>
              <w:pStyle w:val="Infotext"/>
              <w:rPr>
                <w:rFonts w:ascii="Arial Black" w:hAnsi="Arial Black" w:cs="Arial"/>
                <w:sz w:val="36"/>
                <w:szCs w:val="36"/>
              </w:rPr>
            </w:pPr>
          </w:p>
        </w:tc>
      </w:tr>
      <w:tr w:rsidR="002A2389" w:rsidTr="007D2BDA">
        <w:tc>
          <w:tcPr>
            <w:tcW w:w="3456" w:type="dxa"/>
            <w:tcBorders>
              <w:bottom w:val="single" w:sz="18" w:space="0" w:color="auto"/>
            </w:tcBorders>
          </w:tcPr>
          <w:p w:rsidR="002A2389" w:rsidRPr="00D32B51" w:rsidRDefault="00D32B51">
            <w:pPr>
              <w:pStyle w:val="Infotext"/>
              <w:rPr>
                <w:rFonts w:ascii="Arial Black" w:hAnsi="Arial Black"/>
                <w:color w:val="999999"/>
                <w:sz w:val="36"/>
                <w:szCs w:val="36"/>
              </w:rPr>
            </w:pPr>
            <w:r w:rsidRPr="00D32B51">
              <w:rPr>
                <w:rFonts w:ascii="Arial Black" w:hAnsi="Arial Black"/>
                <w:color w:val="999999"/>
                <w:sz w:val="36"/>
                <w:szCs w:val="36"/>
              </w:rPr>
              <w:t>REPORT FOR</w:t>
            </w:r>
            <w:r w:rsidR="002A2389" w:rsidRPr="00D32B51">
              <w:rPr>
                <w:rFonts w:ascii="Arial Black" w:hAnsi="Arial Black"/>
                <w:color w:val="999999"/>
                <w:sz w:val="36"/>
                <w:szCs w:val="36"/>
              </w:rPr>
              <w:t>:</w:t>
            </w:r>
          </w:p>
          <w:p w:rsidR="002A2389" w:rsidRPr="00F92398" w:rsidRDefault="002A2389">
            <w:pPr>
              <w:pStyle w:val="Infotext"/>
              <w:rPr>
                <w:rFonts w:ascii="Arial Black" w:hAnsi="Arial Black" w:cs="Arial"/>
              </w:rPr>
            </w:pPr>
          </w:p>
        </w:tc>
        <w:tc>
          <w:tcPr>
            <w:tcW w:w="5508" w:type="dxa"/>
            <w:gridSpan w:val="2"/>
            <w:tcBorders>
              <w:bottom w:val="single" w:sz="18" w:space="0" w:color="auto"/>
            </w:tcBorders>
          </w:tcPr>
          <w:p w:rsidR="002C1794" w:rsidRPr="002C1794" w:rsidRDefault="007C5DCE" w:rsidP="00D32B51">
            <w:pPr>
              <w:pStyle w:val="Infotext"/>
              <w:rPr>
                <w:rFonts w:ascii="Arial Black" w:hAnsi="Arial Black" w:cs="Arial"/>
                <w:color w:val="0000FF"/>
                <w:sz w:val="36"/>
                <w:szCs w:val="36"/>
              </w:rPr>
            </w:pPr>
            <w:r>
              <w:rPr>
                <w:rFonts w:ascii="Arial Black" w:hAnsi="Arial Black" w:cs="Arial"/>
                <w:sz w:val="36"/>
                <w:szCs w:val="36"/>
              </w:rPr>
              <w:t>COUNCIL</w:t>
            </w:r>
          </w:p>
        </w:tc>
      </w:tr>
      <w:tr w:rsidR="007C5DCE" w:rsidTr="007D2BDA">
        <w:tc>
          <w:tcPr>
            <w:tcW w:w="3456" w:type="dxa"/>
            <w:tcBorders>
              <w:top w:val="single" w:sz="18" w:space="0" w:color="auto"/>
            </w:tcBorders>
          </w:tcPr>
          <w:p w:rsidR="007C5DCE" w:rsidRPr="00F92398" w:rsidRDefault="007C5DCE">
            <w:pPr>
              <w:pStyle w:val="Infotext"/>
              <w:rPr>
                <w:rFonts w:ascii="Arial Black" w:hAnsi="Arial Black"/>
              </w:rPr>
            </w:pPr>
            <w:r w:rsidRPr="00F92398">
              <w:rPr>
                <w:rFonts w:ascii="Arial Black" w:hAnsi="Arial Black"/>
              </w:rPr>
              <w:t>Date</w:t>
            </w:r>
            <w:r>
              <w:rPr>
                <w:rFonts w:ascii="Arial Black" w:hAnsi="Arial Black"/>
              </w:rPr>
              <w:t xml:space="preserve"> of Meeting</w:t>
            </w:r>
            <w:r w:rsidRPr="00F92398">
              <w:rPr>
                <w:rFonts w:ascii="Arial Black" w:hAnsi="Arial Black"/>
              </w:rPr>
              <w:t>:</w:t>
            </w:r>
          </w:p>
          <w:p w:rsidR="007C5DCE" w:rsidRPr="00F92398" w:rsidRDefault="007C5DCE">
            <w:pPr>
              <w:pStyle w:val="Infotext"/>
              <w:rPr>
                <w:rFonts w:ascii="Arial Black" w:hAnsi="Arial Black" w:cs="Arial"/>
              </w:rPr>
            </w:pPr>
          </w:p>
        </w:tc>
        <w:tc>
          <w:tcPr>
            <w:tcW w:w="5508" w:type="dxa"/>
            <w:gridSpan w:val="2"/>
            <w:tcBorders>
              <w:top w:val="single" w:sz="18" w:space="0" w:color="auto"/>
            </w:tcBorders>
          </w:tcPr>
          <w:p w:rsidR="007C5DCE" w:rsidRDefault="007C5DCE" w:rsidP="00A554A5">
            <w:pPr>
              <w:rPr>
                <w:rFonts w:cs="Arial"/>
                <w:sz w:val="28"/>
              </w:rPr>
            </w:pPr>
            <w:r>
              <w:rPr>
                <w:rFonts w:cs="Arial"/>
                <w:sz w:val="28"/>
              </w:rPr>
              <w:t>16 May 2019</w:t>
            </w:r>
          </w:p>
        </w:tc>
      </w:tr>
      <w:tr w:rsidR="007C5DCE" w:rsidTr="007D2BDA">
        <w:tc>
          <w:tcPr>
            <w:tcW w:w="3456" w:type="dxa"/>
          </w:tcPr>
          <w:p w:rsidR="007C5DCE" w:rsidRPr="00F92398" w:rsidRDefault="007C5DCE">
            <w:pPr>
              <w:pStyle w:val="Infotext"/>
              <w:rPr>
                <w:rFonts w:ascii="Arial Black" w:hAnsi="Arial Black" w:cs="Arial"/>
              </w:rPr>
            </w:pPr>
            <w:r w:rsidRPr="00F92398">
              <w:rPr>
                <w:rFonts w:ascii="Arial Black" w:hAnsi="Arial Black" w:cs="Arial"/>
              </w:rPr>
              <w:t>Subject:</w:t>
            </w:r>
          </w:p>
          <w:p w:rsidR="007C5DCE" w:rsidRPr="00F92398" w:rsidRDefault="007C5DCE">
            <w:pPr>
              <w:pStyle w:val="Infotext"/>
              <w:rPr>
                <w:rFonts w:ascii="Arial Black" w:hAnsi="Arial Black"/>
              </w:rPr>
            </w:pPr>
          </w:p>
        </w:tc>
        <w:tc>
          <w:tcPr>
            <w:tcW w:w="5508" w:type="dxa"/>
            <w:gridSpan w:val="2"/>
          </w:tcPr>
          <w:p w:rsidR="007C5DCE" w:rsidRDefault="007C5DCE" w:rsidP="00A554A5">
            <w:pPr>
              <w:rPr>
                <w:rFonts w:ascii="Arial Black" w:hAnsi="Arial Black" w:cs="Arial"/>
                <w:sz w:val="28"/>
              </w:rPr>
            </w:pPr>
            <w:r w:rsidRPr="001527F1">
              <w:rPr>
                <w:rFonts w:ascii="Arial Black" w:hAnsi="Arial Black" w:cs="Arial"/>
                <w:sz w:val="28"/>
              </w:rPr>
              <w:t xml:space="preserve">INFORMATION REPORT – </w:t>
            </w:r>
          </w:p>
          <w:p w:rsidR="007C5DCE" w:rsidRDefault="007C5DCE" w:rsidP="00A554A5">
            <w:pPr>
              <w:rPr>
                <w:b/>
                <w:sz w:val="28"/>
                <w:szCs w:val="28"/>
              </w:rPr>
            </w:pPr>
            <w:r w:rsidRPr="00B06611">
              <w:rPr>
                <w:b/>
                <w:sz w:val="28"/>
                <w:szCs w:val="28"/>
              </w:rPr>
              <w:t>Remuneration packages of £100,000 or greater</w:t>
            </w:r>
          </w:p>
          <w:p w:rsidR="007C5DCE" w:rsidRPr="00B06611" w:rsidRDefault="007C5DCE" w:rsidP="00A554A5">
            <w:pPr>
              <w:rPr>
                <w:rFonts w:ascii="Arial Black" w:hAnsi="Arial Black" w:cs="Arial"/>
                <w:b/>
                <w:iCs/>
                <w:sz w:val="28"/>
                <w:szCs w:val="28"/>
              </w:rPr>
            </w:pPr>
          </w:p>
        </w:tc>
      </w:tr>
      <w:tr w:rsidR="007C5DCE" w:rsidTr="007D2BDA">
        <w:tc>
          <w:tcPr>
            <w:tcW w:w="3456" w:type="dxa"/>
          </w:tcPr>
          <w:p w:rsidR="007C5DCE" w:rsidRPr="00F92398" w:rsidRDefault="007C5DCE">
            <w:pPr>
              <w:pStyle w:val="Infotext"/>
              <w:rPr>
                <w:rFonts w:ascii="Arial Black" w:hAnsi="Arial Black" w:cs="Arial"/>
              </w:rPr>
            </w:pPr>
            <w:r w:rsidRPr="00F92398">
              <w:rPr>
                <w:rFonts w:ascii="Arial Black" w:hAnsi="Arial Black" w:cs="Arial"/>
              </w:rPr>
              <w:t>Responsible Officer:</w:t>
            </w:r>
          </w:p>
          <w:p w:rsidR="007C5DCE" w:rsidRPr="00F92398" w:rsidRDefault="007C5DCE">
            <w:pPr>
              <w:pStyle w:val="Infotext"/>
              <w:rPr>
                <w:rFonts w:ascii="Arial Black" w:hAnsi="Arial Black" w:cs="Arial"/>
              </w:rPr>
            </w:pPr>
          </w:p>
        </w:tc>
        <w:tc>
          <w:tcPr>
            <w:tcW w:w="5508" w:type="dxa"/>
            <w:gridSpan w:val="2"/>
          </w:tcPr>
          <w:p w:rsidR="007C5DCE" w:rsidRDefault="007C5DCE" w:rsidP="00A554A5">
            <w:pPr>
              <w:rPr>
                <w:rFonts w:cs="Arial"/>
                <w:sz w:val="28"/>
                <w:szCs w:val="28"/>
              </w:rPr>
            </w:pPr>
            <w:r>
              <w:rPr>
                <w:rFonts w:cs="Arial"/>
                <w:sz w:val="28"/>
                <w:szCs w:val="28"/>
              </w:rPr>
              <w:t xml:space="preserve">Sean </w:t>
            </w:r>
            <w:proofErr w:type="spellStart"/>
            <w:r>
              <w:rPr>
                <w:rFonts w:cs="Arial"/>
                <w:sz w:val="28"/>
                <w:szCs w:val="28"/>
              </w:rPr>
              <w:t>Harriss</w:t>
            </w:r>
            <w:proofErr w:type="spellEnd"/>
            <w:r>
              <w:rPr>
                <w:rFonts w:cs="Arial"/>
                <w:sz w:val="28"/>
                <w:szCs w:val="28"/>
              </w:rPr>
              <w:t xml:space="preserve">, Chief Executive </w:t>
            </w:r>
          </w:p>
          <w:p w:rsidR="007C5DCE" w:rsidRPr="008361B7" w:rsidRDefault="007C5DCE" w:rsidP="007C5DCE">
            <w:pPr>
              <w:rPr>
                <w:rFonts w:cs="Arial"/>
                <w:sz w:val="28"/>
                <w:szCs w:val="28"/>
              </w:rPr>
            </w:pPr>
          </w:p>
        </w:tc>
      </w:tr>
      <w:tr w:rsidR="007C5DCE" w:rsidTr="007D2BDA">
        <w:tc>
          <w:tcPr>
            <w:tcW w:w="3456" w:type="dxa"/>
          </w:tcPr>
          <w:p w:rsidR="007C5DCE" w:rsidRPr="00F92398" w:rsidRDefault="007C5DCE">
            <w:pPr>
              <w:pStyle w:val="Infotext"/>
              <w:rPr>
                <w:rFonts w:ascii="Arial Black" w:hAnsi="Arial Black" w:cs="Arial"/>
              </w:rPr>
            </w:pPr>
            <w:r w:rsidRPr="00F92398">
              <w:rPr>
                <w:rFonts w:ascii="Arial Black" w:hAnsi="Arial Black" w:cs="Arial"/>
              </w:rPr>
              <w:t>Exempt:</w:t>
            </w:r>
          </w:p>
          <w:p w:rsidR="007C5DCE" w:rsidRPr="00F92398" w:rsidRDefault="007C5DCE">
            <w:pPr>
              <w:pStyle w:val="Infotext"/>
              <w:rPr>
                <w:rFonts w:ascii="Arial Black" w:hAnsi="Arial Black" w:cs="Arial"/>
              </w:rPr>
            </w:pPr>
          </w:p>
        </w:tc>
        <w:tc>
          <w:tcPr>
            <w:tcW w:w="5508" w:type="dxa"/>
            <w:gridSpan w:val="2"/>
          </w:tcPr>
          <w:p w:rsidR="007C5DCE" w:rsidRDefault="007C5DCE" w:rsidP="007C5DCE">
            <w:pPr>
              <w:rPr>
                <w:rFonts w:cs="Arial"/>
                <w:sz w:val="28"/>
                <w:szCs w:val="28"/>
              </w:rPr>
            </w:pPr>
            <w:r>
              <w:rPr>
                <w:rFonts w:cs="Arial"/>
                <w:sz w:val="28"/>
                <w:szCs w:val="28"/>
              </w:rPr>
              <w:t>No</w:t>
            </w:r>
          </w:p>
          <w:p w:rsidR="007C5DCE" w:rsidRDefault="007C5DCE" w:rsidP="00A554A5">
            <w:pPr>
              <w:rPr>
                <w:rFonts w:cs="Arial"/>
                <w:sz w:val="28"/>
                <w:szCs w:val="28"/>
              </w:rPr>
            </w:pPr>
          </w:p>
        </w:tc>
      </w:tr>
      <w:tr w:rsidR="007C5DCE" w:rsidTr="007D2BDA">
        <w:tc>
          <w:tcPr>
            <w:tcW w:w="3456" w:type="dxa"/>
          </w:tcPr>
          <w:p w:rsidR="007C5DCE" w:rsidRDefault="007C5DCE">
            <w:pPr>
              <w:pStyle w:val="Infotext"/>
              <w:rPr>
                <w:rFonts w:ascii="Arial Black" w:hAnsi="Arial Black" w:cs="Arial"/>
              </w:rPr>
            </w:pPr>
            <w:r>
              <w:rPr>
                <w:rFonts w:ascii="Arial Black" w:hAnsi="Arial Black" w:cs="Arial"/>
              </w:rPr>
              <w:t>Wards affected:</w:t>
            </w:r>
          </w:p>
          <w:p w:rsidR="007C5DCE" w:rsidRPr="00F92398" w:rsidRDefault="007C5DCE">
            <w:pPr>
              <w:pStyle w:val="Infotext"/>
              <w:rPr>
                <w:rFonts w:ascii="Arial Black" w:hAnsi="Arial Black" w:cs="Arial"/>
              </w:rPr>
            </w:pPr>
          </w:p>
        </w:tc>
        <w:tc>
          <w:tcPr>
            <w:tcW w:w="5508" w:type="dxa"/>
            <w:gridSpan w:val="2"/>
          </w:tcPr>
          <w:p w:rsidR="007C5DCE" w:rsidRPr="00EE498D" w:rsidRDefault="007C5DCE" w:rsidP="007C5DCE">
            <w:pPr>
              <w:rPr>
                <w:rFonts w:cs="Arial"/>
                <w:sz w:val="28"/>
                <w:szCs w:val="28"/>
              </w:rPr>
            </w:pPr>
            <w:r>
              <w:rPr>
                <w:rFonts w:cs="Arial"/>
                <w:sz w:val="28"/>
                <w:szCs w:val="28"/>
              </w:rPr>
              <w:t xml:space="preserve">All </w:t>
            </w:r>
          </w:p>
        </w:tc>
      </w:tr>
      <w:tr w:rsidR="007C5DCE" w:rsidTr="007D2BDA">
        <w:tc>
          <w:tcPr>
            <w:tcW w:w="3456" w:type="dxa"/>
          </w:tcPr>
          <w:p w:rsidR="007C5DCE" w:rsidRPr="00F92398" w:rsidRDefault="007C5DCE">
            <w:pPr>
              <w:pStyle w:val="Infotext"/>
              <w:rPr>
                <w:rFonts w:ascii="Arial Black" w:hAnsi="Arial Black" w:cs="Arial"/>
              </w:rPr>
            </w:pPr>
            <w:r w:rsidRPr="00F92398">
              <w:rPr>
                <w:rFonts w:ascii="Arial Black" w:hAnsi="Arial Black" w:cs="Arial"/>
              </w:rPr>
              <w:t>Enclosures:</w:t>
            </w:r>
          </w:p>
          <w:p w:rsidR="007C5DCE" w:rsidRPr="00F92398" w:rsidRDefault="007C5DCE">
            <w:pPr>
              <w:pStyle w:val="Infotext"/>
              <w:rPr>
                <w:rFonts w:ascii="Arial Black" w:hAnsi="Arial Black" w:cs="Arial"/>
              </w:rPr>
            </w:pPr>
          </w:p>
        </w:tc>
        <w:tc>
          <w:tcPr>
            <w:tcW w:w="5508" w:type="dxa"/>
            <w:gridSpan w:val="2"/>
          </w:tcPr>
          <w:p w:rsidR="007C5DCE" w:rsidRDefault="007C5DCE">
            <w:pPr>
              <w:pStyle w:val="Infotext"/>
            </w:pPr>
            <w:r>
              <w:rPr>
                <w:rFonts w:cs="Arial"/>
                <w:szCs w:val="28"/>
              </w:rPr>
              <w:t>None</w:t>
            </w:r>
          </w:p>
        </w:tc>
      </w:tr>
    </w:tbl>
    <w:p w:rsidR="002A2389" w:rsidRDefault="002A2389">
      <w:pPr>
        <w:rPr>
          <w:rFonts w:cs="Arial"/>
        </w:rPr>
      </w:pPr>
    </w:p>
    <w:p w:rsidR="002A2389" w:rsidRDefault="002A238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675FCB">
        <w:tc>
          <w:tcPr>
            <w:tcW w:w="8525" w:type="dxa"/>
            <w:tcBorders>
              <w:top w:val="nil"/>
              <w:left w:val="nil"/>
              <w:right w:val="nil"/>
            </w:tcBorders>
          </w:tcPr>
          <w:p w:rsidR="00675FCB" w:rsidRDefault="00675FCB" w:rsidP="00675FCB">
            <w:pPr>
              <w:pStyle w:val="Heading1"/>
            </w:pPr>
            <w:r>
              <w:t>Section 1 – Summary and Recommendations</w:t>
            </w:r>
          </w:p>
          <w:p w:rsidR="00675FCB" w:rsidRDefault="00675FCB"/>
        </w:tc>
      </w:tr>
      <w:tr w:rsidR="002A2389">
        <w:tc>
          <w:tcPr>
            <w:tcW w:w="8525" w:type="dxa"/>
          </w:tcPr>
          <w:p w:rsidR="002A2389" w:rsidRDefault="002A2389"/>
          <w:p w:rsidR="004A3202" w:rsidRDefault="004A3202" w:rsidP="004A3202">
            <w:pPr>
              <w:rPr>
                <w:rFonts w:cs="Arial"/>
                <w:szCs w:val="24"/>
              </w:rPr>
            </w:pPr>
            <w:r>
              <w:t xml:space="preserve">This report sets out a summary </w:t>
            </w:r>
            <w:r>
              <w:rPr>
                <w:rFonts w:cs="Arial"/>
                <w:szCs w:val="24"/>
              </w:rPr>
              <w:t>of the</w:t>
            </w:r>
            <w:r w:rsidRPr="004969A4">
              <w:rPr>
                <w:szCs w:val="24"/>
              </w:rPr>
              <w:t xml:space="preserve"> </w:t>
            </w:r>
            <w:r>
              <w:rPr>
                <w:szCs w:val="24"/>
              </w:rPr>
              <w:t xml:space="preserve">latest </w:t>
            </w:r>
            <w:r w:rsidRPr="004969A4">
              <w:rPr>
                <w:szCs w:val="24"/>
              </w:rPr>
              <w:t>remuneration package</w:t>
            </w:r>
            <w:r>
              <w:rPr>
                <w:szCs w:val="24"/>
              </w:rPr>
              <w:t>s</w:t>
            </w:r>
            <w:r w:rsidRPr="004969A4">
              <w:rPr>
                <w:szCs w:val="24"/>
              </w:rPr>
              <w:t xml:space="preserve"> amount</w:t>
            </w:r>
            <w:r>
              <w:rPr>
                <w:szCs w:val="24"/>
              </w:rPr>
              <w:t>ing</w:t>
            </w:r>
            <w:r w:rsidRPr="004969A4">
              <w:rPr>
                <w:szCs w:val="24"/>
              </w:rPr>
              <w:t xml:space="preserve"> to £100,000 or greater</w:t>
            </w:r>
            <w:r>
              <w:rPr>
                <w:rFonts w:cs="Arial"/>
                <w:szCs w:val="24"/>
              </w:rPr>
              <w:t xml:space="preserve"> approved by the Chief Officers’ Employment Panel.</w:t>
            </w:r>
          </w:p>
          <w:p w:rsidR="004A3202" w:rsidRDefault="004A3202" w:rsidP="004A3202">
            <w:pPr>
              <w:rPr>
                <w:rFonts w:cs="Arial"/>
              </w:rPr>
            </w:pPr>
          </w:p>
          <w:p w:rsidR="002A2389" w:rsidRDefault="004A3202">
            <w:r w:rsidRPr="0051745E">
              <w:rPr>
                <w:rFonts w:cs="Arial"/>
                <w:b/>
              </w:rPr>
              <w:t>FOR INFORMATION</w:t>
            </w:r>
            <w:r>
              <w:t xml:space="preserve"> </w:t>
            </w:r>
          </w:p>
          <w:p w:rsidR="002A2389" w:rsidRDefault="002A2389">
            <w:pPr>
              <w:jc w:val="both"/>
              <w:rPr>
                <w:rFonts w:cs="Arial"/>
              </w:rPr>
            </w:pPr>
          </w:p>
        </w:tc>
      </w:tr>
    </w:tbl>
    <w:p w:rsidR="002A2389" w:rsidRDefault="002A2389">
      <w:pPr>
        <w:pStyle w:val="Heading1"/>
        <w:jc w:val="center"/>
        <w:rPr>
          <w:color w:val="0000FF"/>
          <w:sz w:val="28"/>
        </w:rPr>
      </w:pPr>
    </w:p>
    <w:p w:rsidR="00FF71E5" w:rsidRDefault="00FF71E5">
      <w:pPr>
        <w:pStyle w:val="Heading1"/>
        <w:jc w:val="both"/>
        <w:sectPr w:rsidR="00FF71E5" w:rsidSect="007D2BDA">
          <w:pgSz w:w="11909" w:h="16834" w:code="9"/>
          <w:pgMar w:top="1008" w:right="1800" w:bottom="1440" w:left="1800" w:header="1008" w:footer="432" w:gutter="0"/>
          <w:cols w:space="720"/>
          <w:titlePg/>
          <w:docGrid w:linePitch="360"/>
        </w:sectPr>
      </w:pPr>
    </w:p>
    <w:p w:rsidR="002A2389" w:rsidRDefault="002A2389">
      <w:pPr>
        <w:pStyle w:val="Heading1"/>
        <w:jc w:val="both"/>
      </w:pPr>
      <w:r>
        <w:lastRenderedPageBreak/>
        <w:br w:type="page"/>
      </w:r>
      <w:r>
        <w:lastRenderedPageBreak/>
        <w:t>Section 2 – Report</w:t>
      </w:r>
    </w:p>
    <w:p w:rsidR="004A3202" w:rsidRDefault="004A3202" w:rsidP="004A3202">
      <w:pPr>
        <w:ind w:firstLine="360"/>
        <w:rPr>
          <w:rFonts w:cs="Arial"/>
          <w:b/>
          <w:bCs/>
          <w:sz w:val="28"/>
          <w:szCs w:val="32"/>
        </w:rPr>
      </w:pPr>
    </w:p>
    <w:p w:rsidR="004A3202" w:rsidRPr="00D46922" w:rsidRDefault="004A3202" w:rsidP="004A3202">
      <w:pPr>
        <w:rPr>
          <w:rFonts w:cs="Arial"/>
          <w:b/>
          <w:bCs/>
          <w:sz w:val="28"/>
          <w:szCs w:val="32"/>
        </w:rPr>
      </w:pPr>
      <w:r w:rsidRPr="00D46922">
        <w:rPr>
          <w:rFonts w:cs="Arial"/>
          <w:b/>
          <w:bCs/>
          <w:sz w:val="28"/>
          <w:szCs w:val="32"/>
        </w:rPr>
        <w:t>Background</w:t>
      </w:r>
    </w:p>
    <w:p w:rsidR="004A3202" w:rsidRPr="00AE3DFD" w:rsidRDefault="004A3202" w:rsidP="004A3202">
      <w:pPr>
        <w:rPr>
          <w:rFonts w:cs="Arial"/>
          <w:bCs/>
        </w:rPr>
      </w:pPr>
    </w:p>
    <w:p w:rsidR="004A3202" w:rsidRPr="00AE3DFD" w:rsidRDefault="004A3202" w:rsidP="004A3202">
      <w:pPr>
        <w:autoSpaceDE w:val="0"/>
        <w:autoSpaceDN w:val="0"/>
        <w:adjustRightInd w:val="0"/>
        <w:rPr>
          <w:rFonts w:cs="Arial"/>
          <w:szCs w:val="24"/>
          <w:lang w:eastAsia="en-GB"/>
        </w:rPr>
      </w:pPr>
      <w:r w:rsidRPr="00AE3DFD">
        <w:rPr>
          <w:rFonts w:cs="Arial"/>
          <w:szCs w:val="24"/>
          <w:lang w:eastAsia="en-GB"/>
        </w:rPr>
        <w:t>The Localism Act 2011 requires Local Authorities to agree and publish an annual Pay Policy Statement.</w:t>
      </w:r>
    </w:p>
    <w:p w:rsidR="004A3202" w:rsidRPr="00AE3DFD" w:rsidRDefault="004A3202" w:rsidP="004A3202">
      <w:pPr>
        <w:autoSpaceDE w:val="0"/>
        <w:autoSpaceDN w:val="0"/>
        <w:adjustRightInd w:val="0"/>
        <w:rPr>
          <w:rFonts w:cs="Arial"/>
          <w:szCs w:val="24"/>
          <w:lang w:eastAsia="en-GB"/>
        </w:rPr>
      </w:pPr>
    </w:p>
    <w:p w:rsidR="004A3202" w:rsidRPr="007A23FF" w:rsidRDefault="004A3202" w:rsidP="004A3202">
      <w:pPr>
        <w:autoSpaceDE w:val="0"/>
        <w:autoSpaceDN w:val="0"/>
        <w:adjustRightInd w:val="0"/>
        <w:rPr>
          <w:rFonts w:cs="Arial"/>
          <w:szCs w:val="24"/>
          <w:lang w:eastAsia="en-GB"/>
        </w:rPr>
      </w:pPr>
      <w:r w:rsidRPr="007A23FF">
        <w:rPr>
          <w:rFonts w:cs="Arial"/>
          <w:szCs w:val="24"/>
          <w:lang w:eastAsia="en-GB"/>
        </w:rPr>
        <w:t>DCLG guidance (‘Openness and accountability in local pay: Guidance under section 40 of the Localism Act 2011’) states that that full Council should be asked to determine whether it wishes to vote on any remuneration package or payment on termination of employment amount to £100,000 or greater.</w:t>
      </w:r>
    </w:p>
    <w:p w:rsidR="004A3202" w:rsidRPr="00AE3DFD" w:rsidRDefault="004A3202" w:rsidP="004A3202">
      <w:pPr>
        <w:autoSpaceDE w:val="0"/>
        <w:autoSpaceDN w:val="0"/>
        <w:adjustRightInd w:val="0"/>
        <w:ind w:left="360"/>
        <w:rPr>
          <w:rFonts w:cs="Arial"/>
          <w:szCs w:val="24"/>
          <w:lang w:eastAsia="en-GB"/>
        </w:rPr>
      </w:pPr>
    </w:p>
    <w:p w:rsidR="004A3202" w:rsidRPr="00AE3DFD" w:rsidRDefault="004A3202" w:rsidP="004A3202">
      <w:pPr>
        <w:autoSpaceDE w:val="0"/>
        <w:autoSpaceDN w:val="0"/>
        <w:adjustRightInd w:val="0"/>
        <w:rPr>
          <w:rFonts w:cs="Arial"/>
          <w:szCs w:val="24"/>
          <w:lang w:eastAsia="en-GB"/>
        </w:rPr>
      </w:pPr>
      <w:r w:rsidRPr="00AE3DFD">
        <w:rPr>
          <w:rFonts w:cs="Arial"/>
          <w:szCs w:val="24"/>
          <w:lang w:eastAsia="en-GB"/>
        </w:rPr>
        <w:t>The statutory guidance states: ‘Remuneration includes salary, expenses, bonuses, performance related pay, as well as contractual arrangements involving possible future severance payments’.  Authorities are required to take account of this guidance when preparing their pay policy statements.</w:t>
      </w:r>
    </w:p>
    <w:p w:rsidR="004A3202" w:rsidRPr="00AE3DFD" w:rsidRDefault="004A3202" w:rsidP="004A3202">
      <w:pPr>
        <w:autoSpaceDE w:val="0"/>
        <w:autoSpaceDN w:val="0"/>
        <w:adjustRightInd w:val="0"/>
        <w:rPr>
          <w:rFonts w:cs="Arial"/>
          <w:szCs w:val="24"/>
          <w:lang w:eastAsia="en-GB"/>
        </w:rPr>
      </w:pPr>
    </w:p>
    <w:p w:rsidR="004A3202" w:rsidRDefault="004A3202" w:rsidP="004A3202">
      <w:pPr>
        <w:autoSpaceDE w:val="0"/>
        <w:autoSpaceDN w:val="0"/>
        <w:adjustRightInd w:val="0"/>
        <w:jc w:val="both"/>
        <w:rPr>
          <w:rFonts w:cs="Arial"/>
          <w:szCs w:val="24"/>
        </w:rPr>
      </w:pPr>
      <w:r w:rsidRPr="00AE3DFD">
        <w:rPr>
          <w:rFonts w:cs="Arial"/>
          <w:szCs w:val="24"/>
          <w:lang w:eastAsia="en-GB"/>
        </w:rPr>
        <w:t xml:space="preserve">The Council delegates authority to the Chief Officers’ Employment Panel for determination of any </w:t>
      </w:r>
      <w:r w:rsidRPr="00AE3DFD">
        <w:rPr>
          <w:rFonts w:cs="Arial"/>
          <w:szCs w:val="24"/>
        </w:rPr>
        <w:t>remuneration package of £100,000 or payment on termination of employment amount to £100,000 or greater. Council also agreed that a summary of any remuneration packages or payments on termination of employment amounting to £100,000 or greater approved by the Chief Officers’ Employment Panel be reported for information to full Council.</w:t>
      </w:r>
    </w:p>
    <w:p w:rsidR="004A3202" w:rsidRDefault="004A3202" w:rsidP="004A3202">
      <w:pPr>
        <w:autoSpaceDE w:val="0"/>
        <w:autoSpaceDN w:val="0"/>
        <w:adjustRightInd w:val="0"/>
        <w:jc w:val="both"/>
        <w:rPr>
          <w:rFonts w:cs="Arial"/>
          <w:szCs w:val="24"/>
        </w:rPr>
      </w:pPr>
    </w:p>
    <w:p w:rsidR="004A3202" w:rsidRPr="000B3EAF" w:rsidRDefault="004A3202" w:rsidP="004A3202">
      <w:pPr>
        <w:tabs>
          <w:tab w:val="left" w:pos="426"/>
        </w:tabs>
        <w:autoSpaceDE w:val="0"/>
        <w:autoSpaceDN w:val="0"/>
        <w:adjustRightInd w:val="0"/>
        <w:jc w:val="both"/>
        <w:rPr>
          <w:rFonts w:cs="Arial"/>
          <w:szCs w:val="24"/>
        </w:rPr>
      </w:pPr>
      <w:r w:rsidRPr="00643BF3">
        <w:rPr>
          <w:rFonts w:cs="Arial"/>
          <w:szCs w:val="24"/>
        </w:rPr>
        <w:t xml:space="preserve">Since the last report to Council, the Chief Officers’ Employment Panel has </w:t>
      </w:r>
      <w:r>
        <w:rPr>
          <w:rFonts w:cs="Arial"/>
          <w:szCs w:val="24"/>
        </w:rPr>
        <w:t>recruited</w:t>
      </w:r>
      <w:r w:rsidRPr="00643BF3">
        <w:rPr>
          <w:rFonts w:cs="Arial"/>
          <w:szCs w:val="24"/>
        </w:rPr>
        <w:t xml:space="preserve"> a Corporate Director of Resources</w:t>
      </w:r>
      <w:r>
        <w:rPr>
          <w:rFonts w:cs="Arial"/>
          <w:szCs w:val="24"/>
        </w:rPr>
        <w:t>, a</w:t>
      </w:r>
      <w:r w:rsidRPr="00643BF3">
        <w:rPr>
          <w:rFonts w:cs="Arial"/>
          <w:szCs w:val="24"/>
        </w:rPr>
        <w:t xml:space="preserve"> Corporate Director of People</w:t>
      </w:r>
      <w:r>
        <w:rPr>
          <w:rFonts w:cs="Arial"/>
          <w:szCs w:val="24"/>
        </w:rPr>
        <w:t xml:space="preserve"> Services</w:t>
      </w:r>
      <w:r w:rsidRPr="00643BF3">
        <w:rPr>
          <w:rFonts w:cs="Arial"/>
          <w:szCs w:val="24"/>
        </w:rPr>
        <w:t>, and has revised the roles and responsibilities of the Director of Finance and the Director of Strategy (formerly called the Divisional Director of Strategic Commissioning</w:t>
      </w:r>
      <w:r>
        <w:rPr>
          <w:rFonts w:cs="Arial"/>
          <w:szCs w:val="24"/>
        </w:rPr>
        <w:t xml:space="preserve">). The Panel has also taken decisions to support the recruitment to </w:t>
      </w:r>
      <w:r w:rsidRPr="000B3EAF">
        <w:rPr>
          <w:rFonts w:cs="Arial"/>
          <w:szCs w:val="24"/>
        </w:rPr>
        <w:t xml:space="preserve">the Divisional Director of Children and Young People and has approved the creation of the roles of Commercial Development Director and Head of Human Resources </w:t>
      </w:r>
      <w:r>
        <w:rPr>
          <w:rFonts w:cs="Arial"/>
          <w:szCs w:val="24"/>
        </w:rPr>
        <w:t>a</w:t>
      </w:r>
      <w:r w:rsidRPr="000B3EAF">
        <w:rPr>
          <w:rFonts w:cs="Arial"/>
          <w:szCs w:val="24"/>
        </w:rPr>
        <w:t>nd Development.</w:t>
      </w:r>
    </w:p>
    <w:p w:rsidR="004A3202" w:rsidRPr="000B3EAF" w:rsidRDefault="004A3202" w:rsidP="004A3202">
      <w:pPr>
        <w:pStyle w:val="ListParagraph"/>
        <w:ind w:left="0"/>
        <w:rPr>
          <w:szCs w:val="24"/>
        </w:rPr>
      </w:pPr>
    </w:p>
    <w:p w:rsidR="004A3202" w:rsidRPr="00D46922" w:rsidRDefault="004A3202" w:rsidP="004A3202">
      <w:pPr>
        <w:rPr>
          <w:rFonts w:cs="Arial"/>
          <w:b/>
          <w:bCs/>
          <w:sz w:val="28"/>
          <w:szCs w:val="32"/>
        </w:rPr>
      </w:pPr>
      <w:r w:rsidRPr="00D46922">
        <w:rPr>
          <w:rFonts w:cs="Arial"/>
          <w:b/>
          <w:bCs/>
          <w:sz w:val="28"/>
          <w:szCs w:val="32"/>
        </w:rPr>
        <w:t>Report</w:t>
      </w:r>
    </w:p>
    <w:p w:rsidR="004A3202" w:rsidRDefault="004A3202" w:rsidP="004A3202">
      <w:pPr>
        <w:pStyle w:val="ListParagraph"/>
        <w:ind w:left="360"/>
        <w:rPr>
          <w:szCs w:val="24"/>
        </w:rPr>
      </w:pPr>
    </w:p>
    <w:p w:rsidR="004A3202" w:rsidRDefault="004A3202" w:rsidP="004A3202">
      <w:pPr>
        <w:autoSpaceDE w:val="0"/>
        <w:autoSpaceDN w:val="0"/>
        <w:adjustRightInd w:val="0"/>
        <w:jc w:val="both"/>
        <w:rPr>
          <w:rFonts w:cs="Arial"/>
          <w:b/>
          <w:color w:val="000000"/>
          <w:szCs w:val="24"/>
        </w:rPr>
      </w:pPr>
      <w:r>
        <w:rPr>
          <w:rFonts w:cs="Arial"/>
          <w:b/>
          <w:color w:val="000000"/>
          <w:szCs w:val="24"/>
        </w:rPr>
        <w:t>Appointment of the Corporate Director, Resources</w:t>
      </w:r>
    </w:p>
    <w:p w:rsidR="004A3202" w:rsidRDefault="004A3202" w:rsidP="004A3202">
      <w:pPr>
        <w:jc w:val="both"/>
        <w:rPr>
          <w:b/>
          <w:u w:val="single"/>
        </w:rPr>
      </w:pPr>
    </w:p>
    <w:p w:rsidR="004A3202" w:rsidRPr="00AE3DFD" w:rsidRDefault="004A3202" w:rsidP="004A3202">
      <w:pPr>
        <w:autoSpaceDE w:val="0"/>
        <w:autoSpaceDN w:val="0"/>
        <w:adjustRightInd w:val="0"/>
        <w:jc w:val="both"/>
        <w:rPr>
          <w:rFonts w:cs="Arial"/>
        </w:rPr>
      </w:pPr>
      <w:r>
        <w:rPr>
          <w:rFonts w:cs="Arial"/>
        </w:rPr>
        <w:t>On 26</w:t>
      </w:r>
      <w:r w:rsidRPr="000D073D">
        <w:rPr>
          <w:rFonts w:cs="Arial"/>
          <w:vertAlign w:val="superscript"/>
        </w:rPr>
        <w:t>th</w:t>
      </w:r>
      <w:r>
        <w:rPr>
          <w:rFonts w:cs="Arial"/>
        </w:rPr>
        <w:t xml:space="preserve"> February 2019</w:t>
      </w:r>
      <w:r w:rsidRPr="00AE3DFD">
        <w:rPr>
          <w:rFonts w:cs="Arial"/>
        </w:rPr>
        <w:t xml:space="preserve">, the Chief Officers’ Employment Panel </w:t>
      </w:r>
      <w:r w:rsidRPr="00AE3DFD">
        <w:rPr>
          <w:rFonts w:cs="Arial"/>
          <w:szCs w:val="24"/>
        </w:rPr>
        <w:t>approved</w:t>
      </w:r>
      <w:r>
        <w:rPr>
          <w:rFonts w:cs="Arial"/>
          <w:szCs w:val="24"/>
        </w:rPr>
        <w:t xml:space="preserve"> the </w:t>
      </w:r>
      <w:r>
        <w:rPr>
          <w:rFonts w:cs="Arial"/>
        </w:rPr>
        <w:t>remuneration package for the post of Corporate Director, Resources.</w:t>
      </w:r>
    </w:p>
    <w:p w:rsidR="004A3202" w:rsidRDefault="004A3202" w:rsidP="004A3202">
      <w:pPr>
        <w:autoSpaceDE w:val="0"/>
        <w:autoSpaceDN w:val="0"/>
        <w:adjustRightInd w:val="0"/>
        <w:ind w:left="360"/>
        <w:jc w:val="both"/>
        <w:rPr>
          <w:rFonts w:cs="Arial"/>
          <w:b/>
          <w:color w:val="000000"/>
          <w:szCs w:val="24"/>
        </w:rPr>
      </w:pPr>
    </w:p>
    <w:p w:rsidR="004A3202" w:rsidRPr="00A16A0E" w:rsidRDefault="004A3202" w:rsidP="004A3202">
      <w:pPr>
        <w:tabs>
          <w:tab w:val="left" w:pos="0"/>
        </w:tabs>
        <w:rPr>
          <w:rFonts w:cs="Arial"/>
          <w:bCs/>
          <w:iCs/>
          <w:szCs w:val="24"/>
        </w:rPr>
      </w:pPr>
      <w:r w:rsidRPr="00A16A0E">
        <w:rPr>
          <w:rFonts w:cs="Arial"/>
          <w:bCs/>
          <w:iCs/>
          <w:szCs w:val="24"/>
        </w:rPr>
        <w:t>The Corporate D</w:t>
      </w:r>
      <w:r>
        <w:rPr>
          <w:rFonts w:cs="Arial"/>
          <w:bCs/>
          <w:iCs/>
          <w:szCs w:val="24"/>
        </w:rPr>
        <w:t>irector, Resources (Grade D4) is a</w:t>
      </w:r>
      <w:r w:rsidRPr="00A16A0E">
        <w:rPr>
          <w:rFonts w:cs="Arial"/>
          <w:bCs/>
          <w:iCs/>
          <w:szCs w:val="24"/>
        </w:rPr>
        <w:t xml:space="preserve"> non statutory Chief Officer post. </w:t>
      </w:r>
    </w:p>
    <w:p w:rsidR="004A3202" w:rsidRPr="00A16A0E" w:rsidRDefault="004A3202" w:rsidP="004A3202">
      <w:pPr>
        <w:tabs>
          <w:tab w:val="left" w:pos="0"/>
        </w:tabs>
        <w:ind w:left="360"/>
        <w:rPr>
          <w:rFonts w:cs="Arial"/>
          <w:bCs/>
          <w:iCs/>
          <w:szCs w:val="24"/>
        </w:rPr>
      </w:pPr>
    </w:p>
    <w:p w:rsidR="004A3202" w:rsidRDefault="004A3202" w:rsidP="004A3202">
      <w:pPr>
        <w:tabs>
          <w:tab w:val="left" w:pos="0"/>
        </w:tabs>
        <w:rPr>
          <w:bCs/>
          <w:szCs w:val="24"/>
        </w:rPr>
      </w:pPr>
      <w:r>
        <w:rPr>
          <w:bCs/>
          <w:szCs w:val="24"/>
        </w:rPr>
        <w:t xml:space="preserve">On reviewing the structure, the absence of an officer in this role was found to be a major capacity gap in driving forward organisational transformation in order to support the delivery of the Medium Term Financial Strategy (MTFS). </w:t>
      </w:r>
    </w:p>
    <w:p w:rsidR="004A3202" w:rsidRPr="00A16A0E" w:rsidRDefault="004A3202" w:rsidP="004A3202">
      <w:pPr>
        <w:tabs>
          <w:tab w:val="left" w:pos="0"/>
        </w:tabs>
        <w:rPr>
          <w:rFonts w:cs="Arial"/>
          <w:bCs/>
          <w:iCs/>
          <w:szCs w:val="24"/>
        </w:rPr>
      </w:pPr>
    </w:p>
    <w:p w:rsidR="004A3202" w:rsidRPr="00A16A0E" w:rsidRDefault="004A3202" w:rsidP="004A3202">
      <w:pPr>
        <w:tabs>
          <w:tab w:val="left" w:pos="0"/>
        </w:tabs>
        <w:rPr>
          <w:rFonts w:cs="Arial"/>
          <w:szCs w:val="24"/>
        </w:rPr>
      </w:pPr>
      <w:r w:rsidRPr="00A16A0E">
        <w:rPr>
          <w:rFonts w:cs="Arial"/>
          <w:szCs w:val="24"/>
        </w:rPr>
        <w:t>It was therefore proposed to recruit to this post on a fixed term contract to both provide corporate capacity in the short term and potential savings going forward.</w:t>
      </w:r>
    </w:p>
    <w:p w:rsidR="004A3202" w:rsidRPr="00A16A0E" w:rsidRDefault="004A3202" w:rsidP="004A3202">
      <w:pPr>
        <w:ind w:left="360"/>
        <w:rPr>
          <w:szCs w:val="24"/>
        </w:rPr>
      </w:pPr>
    </w:p>
    <w:p w:rsidR="004A3202" w:rsidRPr="00836FB6" w:rsidRDefault="004A3202" w:rsidP="004A3202">
      <w:pPr>
        <w:rPr>
          <w:rFonts w:cs="Arial"/>
        </w:rPr>
      </w:pPr>
      <w:r>
        <w:lastRenderedPageBreak/>
        <w:t>On 7 March 2019</w:t>
      </w:r>
      <w:r w:rsidRPr="00A16A0E">
        <w:t xml:space="preserve">, the Panel, having interviewed </w:t>
      </w:r>
      <w:r>
        <w:t>two</w:t>
      </w:r>
      <w:r w:rsidRPr="00A16A0E">
        <w:t xml:space="preserve"> shortlisted candidates for the post of </w:t>
      </w:r>
      <w:r w:rsidRPr="00836FB6">
        <w:t>Corporate Director Resources</w:t>
      </w:r>
      <w:r>
        <w:t>, adjourned and reconvened  on 14</w:t>
      </w:r>
      <w:r>
        <w:t> </w:t>
      </w:r>
      <w:r>
        <w:t xml:space="preserve">March 2019 and </w:t>
      </w:r>
      <w:r w:rsidRPr="00A16A0E">
        <w:t>appoin</w:t>
      </w:r>
      <w:r>
        <w:t>ted Charlie Stewart to the post.</w:t>
      </w:r>
    </w:p>
    <w:p w:rsidR="004A3202" w:rsidRDefault="004A3202" w:rsidP="004A3202">
      <w:pPr>
        <w:pStyle w:val="ListParagraph"/>
        <w:ind w:left="0"/>
      </w:pPr>
    </w:p>
    <w:p w:rsidR="004A3202" w:rsidRPr="00A16A0E" w:rsidRDefault="004A3202" w:rsidP="004A3202">
      <w:pPr>
        <w:rPr>
          <w:rFonts w:cs="Arial"/>
        </w:rPr>
      </w:pPr>
      <w:r>
        <w:t>The Panel agreed the</w:t>
      </w:r>
      <w:r w:rsidRPr="00A16A0E">
        <w:t xml:space="preserve"> remuneratio</w:t>
      </w:r>
      <w:r>
        <w:t xml:space="preserve">n for the role and subsequent to the appointment, </w:t>
      </w:r>
      <w:r w:rsidRPr="00031F6B">
        <w:t xml:space="preserve">in line with </w:t>
      </w:r>
      <w:r>
        <w:t>the Panel</w:t>
      </w:r>
      <w:r w:rsidRPr="00031F6B">
        <w:t>’s authorisation</w:t>
      </w:r>
      <w:r>
        <w:t>, the package and market supplement were</w:t>
      </w:r>
      <w:r w:rsidRPr="00031F6B">
        <w:t xml:space="preserve"> agreed </w:t>
      </w:r>
      <w:r>
        <w:t>as £156,000 per annum for a fixed term period of two years comprised of a salary at grade D4 (point 4, £146,734, salary range £134,380 - £146,734) and a market supplement of £9,266 with effect from 20</w:t>
      </w:r>
      <w:r>
        <w:t> </w:t>
      </w:r>
      <w:r>
        <w:t xml:space="preserve">May 2019. </w:t>
      </w:r>
    </w:p>
    <w:p w:rsidR="004A3202" w:rsidRDefault="004A3202" w:rsidP="004A3202">
      <w:pPr>
        <w:autoSpaceDE w:val="0"/>
        <w:autoSpaceDN w:val="0"/>
        <w:adjustRightInd w:val="0"/>
        <w:rPr>
          <w:rFonts w:cs="Arial"/>
          <w:szCs w:val="24"/>
        </w:rPr>
      </w:pPr>
    </w:p>
    <w:p w:rsidR="004A3202" w:rsidRDefault="004A3202" w:rsidP="004A3202">
      <w:pPr>
        <w:pStyle w:val="ListParagraph"/>
        <w:tabs>
          <w:tab w:val="center" w:pos="4154"/>
        </w:tabs>
        <w:ind w:left="0"/>
        <w:rPr>
          <w:b/>
          <w:szCs w:val="24"/>
        </w:rPr>
      </w:pPr>
      <w:r>
        <w:rPr>
          <w:b/>
          <w:szCs w:val="24"/>
        </w:rPr>
        <w:t>Appointment of Corporate Director, People Services</w:t>
      </w:r>
      <w:r>
        <w:rPr>
          <w:b/>
          <w:szCs w:val="24"/>
        </w:rPr>
        <w:tab/>
      </w:r>
    </w:p>
    <w:p w:rsidR="004A3202" w:rsidRDefault="004A3202" w:rsidP="004A3202">
      <w:pPr>
        <w:pStyle w:val="ListParagraph"/>
        <w:tabs>
          <w:tab w:val="center" w:pos="4154"/>
        </w:tabs>
        <w:ind w:left="0"/>
        <w:rPr>
          <w:b/>
          <w:szCs w:val="24"/>
        </w:rPr>
      </w:pPr>
    </w:p>
    <w:p w:rsidR="004A3202" w:rsidRDefault="004A3202" w:rsidP="004A3202">
      <w:pPr>
        <w:pStyle w:val="BodyText2"/>
        <w:spacing w:after="0" w:line="240" w:lineRule="auto"/>
        <w:rPr>
          <w:szCs w:val="24"/>
        </w:rPr>
      </w:pPr>
      <w:r w:rsidRPr="00643BF3">
        <w:rPr>
          <w:szCs w:val="24"/>
        </w:rPr>
        <w:t>The Corporate Director</w:t>
      </w:r>
      <w:r>
        <w:rPr>
          <w:szCs w:val="24"/>
        </w:rPr>
        <w:t>,</w:t>
      </w:r>
      <w:r w:rsidRPr="00643BF3">
        <w:rPr>
          <w:szCs w:val="24"/>
        </w:rPr>
        <w:t xml:space="preserve"> People Services (Grade D4) is a Chief Officer post </w:t>
      </w:r>
      <w:r>
        <w:rPr>
          <w:szCs w:val="24"/>
        </w:rPr>
        <w:t xml:space="preserve">(including the statutory role of Director of Children’s Services) </w:t>
      </w:r>
      <w:r w:rsidRPr="00643BF3">
        <w:rPr>
          <w:szCs w:val="24"/>
        </w:rPr>
        <w:t xml:space="preserve">and was filled on an interim basis </w:t>
      </w:r>
      <w:r>
        <w:rPr>
          <w:szCs w:val="24"/>
        </w:rPr>
        <w:t>from</w:t>
      </w:r>
      <w:r w:rsidRPr="00643BF3">
        <w:rPr>
          <w:szCs w:val="24"/>
        </w:rPr>
        <w:t xml:space="preserve"> </w:t>
      </w:r>
      <w:r>
        <w:rPr>
          <w:szCs w:val="24"/>
        </w:rPr>
        <w:t>5 March</w:t>
      </w:r>
      <w:r w:rsidRPr="00643BF3">
        <w:rPr>
          <w:szCs w:val="24"/>
        </w:rPr>
        <w:t xml:space="preserve"> 2018 by Paul Hewitt.   The interim post holder and another suitab</w:t>
      </w:r>
      <w:r>
        <w:rPr>
          <w:szCs w:val="24"/>
        </w:rPr>
        <w:t>ly qualified internal candidate</w:t>
      </w:r>
      <w:r w:rsidRPr="00643BF3">
        <w:rPr>
          <w:szCs w:val="24"/>
        </w:rPr>
        <w:t xml:space="preserve"> were invited to apply for this post by way of supporting statement and CV.  </w:t>
      </w:r>
    </w:p>
    <w:p w:rsidR="004A3202" w:rsidRDefault="004A3202" w:rsidP="004A3202">
      <w:pPr>
        <w:pStyle w:val="BodyText2"/>
        <w:spacing w:after="0" w:line="240" w:lineRule="auto"/>
        <w:rPr>
          <w:szCs w:val="24"/>
        </w:rPr>
      </w:pPr>
    </w:p>
    <w:p w:rsidR="004A3202" w:rsidRPr="00A16A0E" w:rsidRDefault="004A3202" w:rsidP="004A3202">
      <w:pPr>
        <w:rPr>
          <w:rFonts w:cs="Arial"/>
        </w:rPr>
      </w:pPr>
      <w:r w:rsidRPr="00643BF3">
        <w:rPr>
          <w:szCs w:val="24"/>
        </w:rPr>
        <w:t xml:space="preserve">On 5 March 2019, </w:t>
      </w:r>
      <w:r w:rsidRPr="00643BF3">
        <w:rPr>
          <w:rFonts w:cs="Arial"/>
          <w:szCs w:val="24"/>
        </w:rPr>
        <w:t xml:space="preserve">the Chief Officers’ Employment Panel </w:t>
      </w:r>
      <w:r>
        <w:rPr>
          <w:rFonts w:cs="Arial"/>
          <w:szCs w:val="24"/>
        </w:rPr>
        <w:t xml:space="preserve">appointed </w:t>
      </w:r>
      <w:r w:rsidRPr="00643BF3">
        <w:rPr>
          <w:szCs w:val="24"/>
        </w:rPr>
        <w:t>Paul Hewitt as the Corporate Director of People Services</w:t>
      </w:r>
      <w:r>
        <w:rPr>
          <w:szCs w:val="24"/>
        </w:rPr>
        <w:t xml:space="preserve"> and statutory Director of Children’s Services</w:t>
      </w:r>
      <w:r w:rsidRPr="00643BF3">
        <w:rPr>
          <w:szCs w:val="24"/>
        </w:rPr>
        <w:t xml:space="preserve"> on Grade (D4). </w:t>
      </w:r>
      <w:r>
        <w:rPr>
          <w:szCs w:val="24"/>
        </w:rPr>
        <w:t>The acting up payment for assuming the role on an interim basis was removed at this time.</w:t>
      </w:r>
      <w:r>
        <w:t xml:space="preserve"> </w:t>
      </w:r>
    </w:p>
    <w:p w:rsidR="004A3202" w:rsidRDefault="004A3202" w:rsidP="004A3202">
      <w:pPr>
        <w:pStyle w:val="BodyText2"/>
        <w:spacing w:after="0" w:line="240" w:lineRule="auto"/>
        <w:rPr>
          <w:szCs w:val="24"/>
        </w:rPr>
      </w:pPr>
    </w:p>
    <w:p w:rsidR="004A3202" w:rsidRDefault="004A3202" w:rsidP="004A3202">
      <w:pPr>
        <w:pStyle w:val="BodyText2"/>
        <w:spacing w:after="0" w:line="240" w:lineRule="auto"/>
        <w:ind w:right="28"/>
      </w:pPr>
      <w:r>
        <w:t>As a result of this appointment the</w:t>
      </w:r>
      <w:r>
        <w:rPr>
          <w:rFonts w:cs="Arial"/>
        </w:rPr>
        <w:t xml:space="preserve"> Divisional Director Children and Young People Service (D2) role became vacant.</w:t>
      </w:r>
      <w:r>
        <w:rPr>
          <w:szCs w:val="24"/>
        </w:rPr>
        <w:t xml:space="preserve"> It was therefore agreed at the Panel on 5 March</w:t>
      </w:r>
      <w:r>
        <w:rPr>
          <w:rFonts w:cs="Arial"/>
        </w:rPr>
        <w:t xml:space="preserve"> 2019, </w:t>
      </w:r>
      <w:r w:rsidRPr="000C1E99">
        <w:rPr>
          <w:rFonts w:cs="Arial"/>
        </w:rPr>
        <w:t>to recruit</w:t>
      </w:r>
      <w:r>
        <w:rPr>
          <w:rFonts w:cs="Arial"/>
        </w:rPr>
        <w:t xml:space="preserve"> to this vacant post</w:t>
      </w:r>
      <w:r>
        <w:t>, seeking internal applications only.</w:t>
      </w:r>
      <w:r>
        <w:rPr>
          <w:rFonts w:cs="Arial"/>
        </w:rPr>
        <w:t xml:space="preserve"> </w:t>
      </w:r>
      <w:r>
        <w:t>The interviews for this role took place on 3 May 2019 and an appointment has been made.</w:t>
      </w:r>
    </w:p>
    <w:p w:rsidR="004A3202" w:rsidRDefault="004A3202" w:rsidP="004A3202">
      <w:pPr>
        <w:pStyle w:val="BodyText"/>
        <w:tabs>
          <w:tab w:val="left" w:pos="567"/>
        </w:tabs>
        <w:rPr>
          <w:b/>
          <w:i w:val="0"/>
          <w:iCs w:val="0"/>
          <w:szCs w:val="24"/>
        </w:rPr>
      </w:pPr>
    </w:p>
    <w:p w:rsidR="004A3202" w:rsidRPr="00643BF3" w:rsidRDefault="004A3202" w:rsidP="004A3202">
      <w:pPr>
        <w:pStyle w:val="BodyText2"/>
        <w:spacing w:after="0" w:line="240" w:lineRule="auto"/>
        <w:ind w:right="28"/>
        <w:rPr>
          <w:rFonts w:cs="Arial"/>
          <w:b/>
          <w:szCs w:val="24"/>
        </w:rPr>
      </w:pPr>
      <w:r w:rsidRPr="00643BF3">
        <w:rPr>
          <w:rFonts w:cs="Arial"/>
          <w:b/>
          <w:szCs w:val="24"/>
        </w:rPr>
        <w:t>Director of Finance and the Director of Strategy</w:t>
      </w:r>
    </w:p>
    <w:p w:rsidR="004A3202" w:rsidRPr="00643BF3" w:rsidRDefault="004A3202" w:rsidP="004A3202">
      <w:pPr>
        <w:pStyle w:val="BodyText2"/>
        <w:spacing w:after="0" w:line="240" w:lineRule="auto"/>
        <w:ind w:right="28"/>
        <w:rPr>
          <w:rFonts w:cs="Arial"/>
          <w:b/>
          <w:szCs w:val="24"/>
        </w:rPr>
      </w:pPr>
    </w:p>
    <w:p w:rsidR="004A3202" w:rsidRPr="00643BF3" w:rsidRDefault="004A3202" w:rsidP="004A3202">
      <w:pPr>
        <w:rPr>
          <w:szCs w:val="24"/>
        </w:rPr>
      </w:pPr>
      <w:r w:rsidRPr="00643BF3">
        <w:rPr>
          <w:szCs w:val="24"/>
        </w:rPr>
        <w:t xml:space="preserve">The Chief Officers’ </w:t>
      </w:r>
      <w:r>
        <w:rPr>
          <w:szCs w:val="24"/>
        </w:rPr>
        <w:t>Employment</w:t>
      </w:r>
      <w:r w:rsidRPr="00643BF3">
        <w:rPr>
          <w:szCs w:val="24"/>
        </w:rPr>
        <w:t xml:space="preserve"> Panel at its meeting on the 28</w:t>
      </w:r>
      <w:r w:rsidRPr="00643BF3">
        <w:rPr>
          <w:szCs w:val="24"/>
          <w:vertAlign w:val="superscript"/>
        </w:rPr>
        <w:t>th</w:t>
      </w:r>
      <w:r w:rsidRPr="00643BF3">
        <w:rPr>
          <w:szCs w:val="24"/>
        </w:rPr>
        <w:t xml:space="preserve"> June 2018 </w:t>
      </w:r>
      <w:r w:rsidRPr="00643BF3">
        <w:rPr>
          <w:rFonts w:cs="Arial"/>
          <w:szCs w:val="24"/>
          <w:lang w:eastAsia="en-GB"/>
        </w:rPr>
        <w:t xml:space="preserve">agreed </w:t>
      </w:r>
      <w:r w:rsidRPr="00643BF3">
        <w:rPr>
          <w:szCs w:val="24"/>
        </w:rPr>
        <w:t>that the Director of Finance and the Divisional Director, Strategic Commissioning</w:t>
      </w:r>
      <w:r>
        <w:rPr>
          <w:szCs w:val="24"/>
        </w:rPr>
        <w:t xml:space="preserve"> should</w:t>
      </w:r>
      <w:r w:rsidRPr="00643BF3">
        <w:rPr>
          <w:szCs w:val="24"/>
        </w:rPr>
        <w:t xml:space="preserve"> continue to take on additional responsibilities as agreed by the Panel in February 2018 and receive acting up allowa</w:t>
      </w:r>
      <w:r>
        <w:rPr>
          <w:szCs w:val="24"/>
        </w:rPr>
        <w:t>nces</w:t>
      </w:r>
      <w:r w:rsidRPr="00643BF3">
        <w:rPr>
          <w:szCs w:val="24"/>
        </w:rPr>
        <w:t>.</w:t>
      </w:r>
    </w:p>
    <w:p w:rsidR="004A3202" w:rsidRPr="00643BF3" w:rsidRDefault="004A3202" w:rsidP="004A3202">
      <w:pPr>
        <w:pStyle w:val="BodyText2"/>
        <w:spacing w:after="0" w:line="240" w:lineRule="auto"/>
        <w:ind w:right="28"/>
        <w:rPr>
          <w:szCs w:val="24"/>
        </w:rPr>
      </w:pPr>
    </w:p>
    <w:p w:rsidR="004A3202" w:rsidRDefault="004A3202" w:rsidP="004A3202">
      <w:pPr>
        <w:tabs>
          <w:tab w:val="left" w:pos="567"/>
        </w:tabs>
        <w:rPr>
          <w:iCs/>
          <w:szCs w:val="24"/>
        </w:rPr>
      </w:pPr>
      <w:r w:rsidRPr="00643BF3">
        <w:rPr>
          <w:iCs/>
          <w:szCs w:val="24"/>
        </w:rPr>
        <w:t xml:space="preserve">These arrangements worked effectively and at the </w:t>
      </w:r>
      <w:r w:rsidRPr="00643BF3">
        <w:rPr>
          <w:szCs w:val="24"/>
        </w:rPr>
        <w:t xml:space="preserve">Chief Officers’ </w:t>
      </w:r>
      <w:r>
        <w:rPr>
          <w:szCs w:val="24"/>
        </w:rPr>
        <w:t>Employment</w:t>
      </w:r>
      <w:r w:rsidRPr="00643BF3">
        <w:rPr>
          <w:szCs w:val="24"/>
        </w:rPr>
        <w:t xml:space="preserve"> Panel on 26</w:t>
      </w:r>
      <w:r w:rsidRPr="00643BF3">
        <w:rPr>
          <w:szCs w:val="24"/>
          <w:vertAlign w:val="superscript"/>
        </w:rPr>
        <w:t>th</w:t>
      </w:r>
      <w:r w:rsidRPr="00643BF3">
        <w:rPr>
          <w:szCs w:val="24"/>
        </w:rPr>
        <w:t xml:space="preserve"> February 2019 it was agreed that these arrangements were </w:t>
      </w:r>
      <w:r>
        <w:rPr>
          <w:szCs w:val="24"/>
        </w:rPr>
        <w:t xml:space="preserve">to be </w:t>
      </w:r>
      <w:r w:rsidRPr="00643BF3">
        <w:rPr>
          <w:szCs w:val="24"/>
        </w:rPr>
        <w:t xml:space="preserve">made permanent </w:t>
      </w:r>
      <w:r w:rsidRPr="00643BF3">
        <w:rPr>
          <w:iCs/>
          <w:szCs w:val="24"/>
        </w:rPr>
        <w:t>and the role profiles for the two posts</w:t>
      </w:r>
      <w:r>
        <w:rPr>
          <w:iCs/>
          <w:szCs w:val="24"/>
        </w:rPr>
        <w:t>, both within the Resources Directorate, be</w:t>
      </w:r>
      <w:r w:rsidRPr="00643BF3">
        <w:rPr>
          <w:iCs/>
          <w:szCs w:val="24"/>
        </w:rPr>
        <w:t xml:space="preserve"> amended following consultation with the </w:t>
      </w:r>
      <w:proofErr w:type="spellStart"/>
      <w:r w:rsidRPr="00643BF3">
        <w:rPr>
          <w:iCs/>
          <w:szCs w:val="24"/>
        </w:rPr>
        <w:t>postholders</w:t>
      </w:r>
      <w:proofErr w:type="spellEnd"/>
      <w:r w:rsidRPr="00643BF3">
        <w:rPr>
          <w:iCs/>
          <w:szCs w:val="24"/>
        </w:rPr>
        <w:t xml:space="preserve"> in accordance with Harrow’s </w:t>
      </w:r>
      <w:r>
        <w:rPr>
          <w:iCs/>
          <w:szCs w:val="24"/>
        </w:rPr>
        <w:t>Protocol for Managing</w:t>
      </w:r>
      <w:r w:rsidRPr="00643BF3">
        <w:rPr>
          <w:iCs/>
          <w:szCs w:val="24"/>
        </w:rPr>
        <w:t xml:space="preserve"> Organisational </w:t>
      </w:r>
      <w:r>
        <w:rPr>
          <w:iCs/>
          <w:szCs w:val="24"/>
        </w:rPr>
        <w:t>Change</w:t>
      </w:r>
      <w:r w:rsidRPr="00643BF3">
        <w:rPr>
          <w:iCs/>
          <w:szCs w:val="24"/>
        </w:rPr>
        <w:t xml:space="preserve">. </w:t>
      </w:r>
    </w:p>
    <w:p w:rsidR="004A3202" w:rsidRDefault="004A3202" w:rsidP="004A3202">
      <w:pPr>
        <w:tabs>
          <w:tab w:val="left" w:pos="567"/>
        </w:tabs>
        <w:rPr>
          <w:iCs/>
          <w:szCs w:val="24"/>
        </w:rPr>
      </w:pPr>
    </w:p>
    <w:p w:rsidR="004A3202" w:rsidRDefault="004A3202" w:rsidP="004A3202">
      <w:pPr>
        <w:tabs>
          <w:tab w:val="left" w:pos="567"/>
        </w:tabs>
        <w:rPr>
          <w:iCs/>
          <w:szCs w:val="24"/>
        </w:rPr>
      </w:pPr>
      <w:r w:rsidRPr="00643BF3">
        <w:rPr>
          <w:iCs/>
          <w:szCs w:val="24"/>
        </w:rPr>
        <w:t>Approval was given</w:t>
      </w:r>
      <w:r>
        <w:rPr>
          <w:iCs/>
          <w:szCs w:val="24"/>
        </w:rPr>
        <w:t xml:space="preserve"> by the Panel </w:t>
      </w:r>
      <w:r w:rsidRPr="00643BF3">
        <w:rPr>
          <w:iCs/>
          <w:szCs w:val="24"/>
        </w:rPr>
        <w:t xml:space="preserve">for the Chief Executive to amend role profiles within the Resources Directorate and to either pay at a higher grade or </w:t>
      </w:r>
      <w:r>
        <w:rPr>
          <w:iCs/>
          <w:szCs w:val="24"/>
        </w:rPr>
        <w:t xml:space="preserve">an </w:t>
      </w:r>
      <w:r w:rsidRPr="00643BF3">
        <w:rPr>
          <w:iCs/>
          <w:szCs w:val="24"/>
        </w:rPr>
        <w:t xml:space="preserve">acting up allowance to reflect new responsibilities. </w:t>
      </w:r>
    </w:p>
    <w:p w:rsidR="004A3202" w:rsidRDefault="004A3202" w:rsidP="004A3202">
      <w:pPr>
        <w:tabs>
          <w:tab w:val="left" w:pos="567"/>
        </w:tabs>
        <w:rPr>
          <w:iCs/>
          <w:szCs w:val="24"/>
        </w:rPr>
      </w:pPr>
    </w:p>
    <w:p w:rsidR="004A3202" w:rsidRDefault="004A3202" w:rsidP="004A3202">
      <w:pPr>
        <w:tabs>
          <w:tab w:val="left" w:pos="567"/>
        </w:tabs>
        <w:rPr>
          <w:iCs/>
          <w:szCs w:val="24"/>
        </w:rPr>
      </w:pPr>
      <w:r w:rsidRPr="00643BF3">
        <w:rPr>
          <w:iCs/>
          <w:szCs w:val="24"/>
        </w:rPr>
        <w:t>Following this exercise, the revised grade of the Director of Finance is no</w:t>
      </w:r>
      <w:r>
        <w:rPr>
          <w:iCs/>
          <w:szCs w:val="24"/>
        </w:rPr>
        <w:t xml:space="preserve">w grade </w:t>
      </w:r>
      <w:r w:rsidRPr="00643BF3">
        <w:rPr>
          <w:iCs/>
          <w:szCs w:val="24"/>
        </w:rPr>
        <w:t xml:space="preserve">D3 </w:t>
      </w:r>
      <w:r>
        <w:rPr>
          <w:iCs/>
          <w:szCs w:val="24"/>
        </w:rPr>
        <w:t xml:space="preserve">(previously D2) </w:t>
      </w:r>
      <w:r w:rsidRPr="00643BF3">
        <w:rPr>
          <w:iCs/>
          <w:szCs w:val="24"/>
        </w:rPr>
        <w:t>and the revised grade of the Director of Strategy</w:t>
      </w:r>
      <w:r>
        <w:rPr>
          <w:iCs/>
          <w:szCs w:val="24"/>
        </w:rPr>
        <w:t xml:space="preserve"> (previously the Divisional Director, Strategic Commissioning) </w:t>
      </w:r>
      <w:r w:rsidRPr="00643BF3">
        <w:rPr>
          <w:iCs/>
          <w:szCs w:val="24"/>
        </w:rPr>
        <w:t xml:space="preserve">is now </w:t>
      </w:r>
      <w:r>
        <w:rPr>
          <w:iCs/>
          <w:szCs w:val="24"/>
        </w:rPr>
        <w:t xml:space="preserve">grade </w:t>
      </w:r>
      <w:r w:rsidRPr="00643BF3">
        <w:rPr>
          <w:iCs/>
          <w:szCs w:val="24"/>
        </w:rPr>
        <w:t>D2</w:t>
      </w:r>
      <w:r>
        <w:rPr>
          <w:iCs/>
          <w:szCs w:val="24"/>
        </w:rPr>
        <w:t xml:space="preserve"> (previously D1).</w:t>
      </w:r>
    </w:p>
    <w:p w:rsidR="004A3202" w:rsidRDefault="004A3202" w:rsidP="004A3202">
      <w:pPr>
        <w:tabs>
          <w:tab w:val="left" w:pos="567"/>
        </w:tabs>
        <w:rPr>
          <w:iCs/>
          <w:szCs w:val="24"/>
        </w:rPr>
      </w:pPr>
    </w:p>
    <w:p w:rsidR="004A3202" w:rsidRPr="00643BF3" w:rsidRDefault="004A3202" w:rsidP="004A3202">
      <w:pPr>
        <w:tabs>
          <w:tab w:val="left" w:pos="567"/>
        </w:tabs>
        <w:rPr>
          <w:iCs/>
          <w:szCs w:val="24"/>
        </w:rPr>
      </w:pPr>
      <w:r w:rsidRPr="00643BF3">
        <w:rPr>
          <w:iCs/>
          <w:szCs w:val="24"/>
        </w:rPr>
        <w:lastRenderedPageBreak/>
        <w:t>Additional payments were removed with the officers placed on the appropriate pay point of the new grade to reflect the removal of the allowances and the pay award effective from 1</w:t>
      </w:r>
      <w:r w:rsidRPr="00643BF3">
        <w:rPr>
          <w:iCs/>
          <w:szCs w:val="24"/>
          <w:vertAlign w:val="superscript"/>
        </w:rPr>
        <w:t>st</w:t>
      </w:r>
      <w:r w:rsidRPr="00643BF3">
        <w:rPr>
          <w:iCs/>
          <w:szCs w:val="24"/>
        </w:rPr>
        <w:t xml:space="preserve"> April 2019.</w:t>
      </w:r>
    </w:p>
    <w:p w:rsidR="004A3202" w:rsidRDefault="004A3202" w:rsidP="004A3202">
      <w:pPr>
        <w:pStyle w:val="ListParagraph"/>
        <w:ind w:left="0"/>
        <w:rPr>
          <w:bCs/>
          <w:szCs w:val="24"/>
        </w:rPr>
      </w:pPr>
    </w:p>
    <w:p w:rsidR="004A3202" w:rsidRDefault="004A3202" w:rsidP="004A3202">
      <w:pPr>
        <w:pStyle w:val="BodyText2"/>
        <w:spacing w:after="0" w:line="240" w:lineRule="auto"/>
        <w:ind w:right="28"/>
        <w:rPr>
          <w:b/>
        </w:rPr>
      </w:pPr>
      <w:r w:rsidRPr="00133585">
        <w:rPr>
          <w:b/>
        </w:rPr>
        <w:t>Corporate Director</w:t>
      </w:r>
      <w:r>
        <w:rPr>
          <w:b/>
        </w:rPr>
        <w:t>, Community</w:t>
      </w:r>
      <w:r w:rsidRPr="00133585">
        <w:rPr>
          <w:b/>
        </w:rPr>
        <w:t xml:space="preserve">  </w:t>
      </w:r>
    </w:p>
    <w:p w:rsidR="004A3202" w:rsidRPr="00133585" w:rsidRDefault="004A3202" w:rsidP="004A3202">
      <w:pPr>
        <w:pStyle w:val="BodyText2"/>
        <w:spacing w:after="0" w:line="240" w:lineRule="auto"/>
        <w:ind w:right="28"/>
        <w:rPr>
          <w:b/>
          <w:szCs w:val="24"/>
        </w:rPr>
      </w:pPr>
    </w:p>
    <w:p w:rsidR="004A3202" w:rsidRDefault="004A3202" w:rsidP="004A3202">
      <w:pPr>
        <w:tabs>
          <w:tab w:val="left" w:pos="567"/>
        </w:tabs>
        <w:rPr>
          <w:szCs w:val="24"/>
        </w:rPr>
      </w:pPr>
      <w:r>
        <w:rPr>
          <w:bCs/>
          <w:szCs w:val="24"/>
        </w:rPr>
        <w:t xml:space="preserve">This role is a </w:t>
      </w:r>
      <w:r w:rsidRPr="0068036F">
        <w:rPr>
          <w:bCs/>
          <w:szCs w:val="24"/>
        </w:rPr>
        <w:t>non-statutory Chief Officer post</w:t>
      </w:r>
      <w:r>
        <w:rPr>
          <w:bCs/>
          <w:szCs w:val="24"/>
        </w:rPr>
        <w:t xml:space="preserve"> </w:t>
      </w:r>
      <w:r w:rsidRPr="0068036F">
        <w:rPr>
          <w:bCs/>
          <w:szCs w:val="24"/>
        </w:rPr>
        <w:t>(Grade D4)</w:t>
      </w:r>
      <w:r>
        <w:rPr>
          <w:bCs/>
          <w:szCs w:val="24"/>
        </w:rPr>
        <w:t>.  T</w:t>
      </w:r>
      <w:r w:rsidRPr="00643BF3">
        <w:rPr>
          <w:iCs/>
          <w:szCs w:val="24"/>
        </w:rPr>
        <w:t xml:space="preserve">he </w:t>
      </w:r>
      <w:r w:rsidRPr="00643BF3">
        <w:rPr>
          <w:szCs w:val="24"/>
        </w:rPr>
        <w:t xml:space="preserve">Chief Officers’ </w:t>
      </w:r>
      <w:r>
        <w:rPr>
          <w:szCs w:val="24"/>
        </w:rPr>
        <w:t>Employment</w:t>
      </w:r>
      <w:r w:rsidRPr="00643BF3">
        <w:rPr>
          <w:szCs w:val="24"/>
        </w:rPr>
        <w:t xml:space="preserve"> Panel on 26</w:t>
      </w:r>
      <w:r w:rsidRPr="00643BF3">
        <w:rPr>
          <w:szCs w:val="24"/>
          <w:vertAlign w:val="superscript"/>
        </w:rPr>
        <w:t>th</w:t>
      </w:r>
      <w:r w:rsidRPr="00643BF3">
        <w:rPr>
          <w:szCs w:val="24"/>
        </w:rPr>
        <w:t xml:space="preserve"> February 2019</w:t>
      </w:r>
      <w:r>
        <w:rPr>
          <w:szCs w:val="24"/>
        </w:rPr>
        <w:t xml:space="preserve"> agreed </w:t>
      </w:r>
      <w:r w:rsidRPr="0068036F">
        <w:rPr>
          <w:iCs/>
          <w:szCs w:val="24"/>
        </w:rPr>
        <w:t>that the</w:t>
      </w:r>
      <w:r w:rsidRPr="00FD1B33">
        <w:rPr>
          <w:iCs/>
          <w:szCs w:val="24"/>
        </w:rPr>
        <w:t xml:space="preserve"> temporary transfer of </w:t>
      </w:r>
      <w:r w:rsidRPr="00FD1B33">
        <w:t xml:space="preserve">the Planning and Regeneration Directorate </w:t>
      </w:r>
      <w:r w:rsidRPr="00FD1B33">
        <w:rPr>
          <w:iCs/>
          <w:szCs w:val="24"/>
        </w:rPr>
        <w:t xml:space="preserve">to the Corporate Director Community be confirmed as a permanent change in responsibilities, and </w:t>
      </w:r>
      <w:r>
        <w:rPr>
          <w:iCs/>
          <w:szCs w:val="24"/>
        </w:rPr>
        <w:t>an</w:t>
      </w:r>
      <w:r w:rsidRPr="00FD1B33">
        <w:rPr>
          <w:iCs/>
          <w:szCs w:val="24"/>
        </w:rPr>
        <w:t xml:space="preserve"> </w:t>
      </w:r>
      <w:r>
        <w:rPr>
          <w:iCs/>
          <w:szCs w:val="24"/>
        </w:rPr>
        <w:t xml:space="preserve">amended </w:t>
      </w:r>
      <w:r w:rsidRPr="00FD1B33">
        <w:rPr>
          <w:iCs/>
          <w:szCs w:val="24"/>
        </w:rPr>
        <w:t xml:space="preserve">role profile </w:t>
      </w:r>
      <w:r>
        <w:rPr>
          <w:iCs/>
          <w:szCs w:val="24"/>
        </w:rPr>
        <w:t>agreed</w:t>
      </w:r>
      <w:r w:rsidRPr="00FD1B33">
        <w:rPr>
          <w:iCs/>
          <w:szCs w:val="24"/>
        </w:rPr>
        <w:t>.</w:t>
      </w:r>
      <w:r>
        <w:rPr>
          <w:iCs/>
          <w:szCs w:val="24"/>
        </w:rPr>
        <w:t xml:space="preserve">  It was also agreed that there would be n</w:t>
      </w:r>
      <w:r>
        <w:rPr>
          <w:szCs w:val="24"/>
        </w:rPr>
        <w:t xml:space="preserve">o additional remuneration following the permanent transfer of these duties. </w:t>
      </w:r>
    </w:p>
    <w:p w:rsidR="004A3202" w:rsidRDefault="004A3202" w:rsidP="004A3202">
      <w:pPr>
        <w:tabs>
          <w:tab w:val="left" w:pos="567"/>
        </w:tabs>
        <w:rPr>
          <w:szCs w:val="24"/>
        </w:rPr>
      </w:pPr>
    </w:p>
    <w:p w:rsidR="004A3202" w:rsidRDefault="004A3202" w:rsidP="004A3202">
      <w:pPr>
        <w:pStyle w:val="BodyText"/>
        <w:tabs>
          <w:tab w:val="left" w:pos="0"/>
        </w:tabs>
        <w:rPr>
          <w:b/>
          <w:i w:val="0"/>
          <w:iCs w:val="0"/>
          <w:szCs w:val="24"/>
        </w:rPr>
      </w:pPr>
      <w:r w:rsidRPr="004D5933">
        <w:rPr>
          <w:b/>
          <w:i w:val="0"/>
          <w:iCs w:val="0"/>
          <w:szCs w:val="24"/>
        </w:rPr>
        <w:t xml:space="preserve">Commercial Development Director </w:t>
      </w:r>
    </w:p>
    <w:p w:rsidR="004A3202" w:rsidRDefault="004A3202" w:rsidP="004A3202">
      <w:pPr>
        <w:pStyle w:val="BodyText"/>
        <w:tabs>
          <w:tab w:val="left" w:pos="0"/>
        </w:tabs>
        <w:rPr>
          <w:b/>
          <w:i w:val="0"/>
          <w:iCs w:val="0"/>
          <w:szCs w:val="24"/>
        </w:rPr>
      </w:pPr>
    </w:p>
    <w:p w:rsidR="004A3202" w:rsidRPr="003161B7" w:rsidRDefault="004A3202" w:rsidP="004A3202">
      <w:pPr>
        <w:rPr>
          <w:rFonts w:cs="Arial"/>
          <w:szCs w:val="21"/>
        </w:rPr>
      </w:pPr>
      <w:r w:rsidRPr="003161B7">
        <w:rPr>
          <w:rFonts w:cs="Arial"/>
          <w:szCs w:val="21"/>
        </w:rPr>
        <w:t>The Council’s regeneration programme is ri</w:t>
      </w:r>
      <w:r>
        <w:rPr>
          <w:rFonts w:cs="Arial"/>
          <w:szCs w:val="21"/>
        </w:rPr>
        <w:t xml:space="preserve">ghtly ambitious and at the same </w:t>
      </w:r>
      <w:r w:rsidRPr="003161B7">
        <w:rPr>
          <w:rFonts w:cs="Arial"/>
          <w:szCs w:val="21"/>
        </w:rPr>
        <w:t xml:space="preserve">time challenging. To progress </w:t>
      </w:r>
      <w:r>
        <w:rPr>
          <w:rFonts w:cs="Arial"/>
          <w:szCs w:val="21"/>
        </w:rPr>
        <w:t xml:space="preserve">this programme </w:t>
      </w:r>
      <w:r w:rsidRPr="003161B7">
        <w:rPr>
          <w:rFonts w:cs="Arial"/>
          <w:szCs w:val="21"/>
        </w:rPr>
        <w:t>requires new capacity and capability within the Council, alongside delivering the existing programme of commitments and developments</w:t>
      </w:r>
      <w:r>
        <w:rPr>
          <w:rFonts w:cs="Arial"/>
          <w:szCs w:val="21"/>
        </w:rPr>
        <w:t>.</w:t>
      </w:r>
    </w:p>
    <w:p w:rsidR="004A3202" w:rsidRPr="003161B7" w:rsidRDefault="004A3202" w:rsidP="004A3202">
      <w:pPr>
        <w:rPr>
          <w:rFonts w:cs="Arial"/>
          <w:szCs w:val="21"/>
        </w:rPr>
      </w:pPr>
    </w:p>
    <w:p w:rsidR="004A3202" w:rsidRDefault="004A3202" w:rsidP="004A3202">
      <w:pPr>
        <w:rPr>
          <w:szCs w:val="24"/>
        </w:rPr>
      </w:pPr>
      <w:r>
        <w:rPr>
          <w:rFonts w:cs="Arial"/>
          <w:szCs w:val="21"/>
        </w:rPr>
        <w:t>To support this, the Chief Officers’ Employment Panel at its meeting on 26</w:t>
      </w:r>
      <w:r w:rsidRPr="003D4308">
        <w:rPr>
          <w:rFonts w:cs="Arial"/>
          <w:szCs w:val="21"/>
          <w:vertAlign w:val="superscript"/>
        </w:rPr>
        <w:t>th</w:t>
      </w:r>
      <w:r>
        <w:rPr>
          <w:rFonts w:cs="Arial"/>
          <w:szCs w:val="21"/>
        </w:rPr>
        <w:t xml:space="preserve"> February 2019 agreed to a </w:t>
      </w:r>
      <w:r>
        <w:rPr>
          <w:szCs w:val="24"/>
        </w:rPr>
        <w:t>new post of Commercial Development Director, to be recruited to on a fixed term contract for up to 2 years</w:t>
      </w:r>
      <w:r w:rsidRPr="00B24B6E">
        <w:rPr>
          <w:szCs w:val="24"/>
        </w:rPr>
        <w:t>.</w:t>
      </w:r>
      <w:r>
        <w:rPr>
          <w:szCs w:val="24"/>
        </w:rPr>
        <w:t xml:space="preserve"> This post will replace the</w:t>
      </w:r>
      <w:r>
        <w:rPr>
          <w:color w:val="000000"/>
          <w:szCs w:val="28"/>
        </w:rPr>
        <w:t xml:space="preserve"> Divisional Director of Regeneration and Planning and it is </w:t>
      </w:r>
      <w:r>
        <w:rPr>
          <w:szCs w:val="24"/>
        </w:rPr>
        <w:t>likely that the remuneration will exceed £100,000. The recruitment for this role has been made on an interim basis.</w:t>
      </w:r>
    </w:p>
    <w:p w:rsidR="004A3202" w:rsidRDefault="004A3202" w:rsidP="004A3202">
      <w:pPr>
        <w:pStyle w:val="BodyText"/>
        <w:tabs>
          <w:tab w:val="left" w:pos="567"/>
        </w:tabs>
        <w:rPr>
          <w:i w:val="0"/>
          <w:iCs w:val="0"/>
          <w:szCs w:val="24"/>
        </w:rPr>
      </w:pPr>
    </w:p>
    <w:p w:rsidR="004A3202" w:rsidRDefault="004A3202" w:rsidP="004A3202">
      <w:pPr>
        <w:rPr>
          <w:b/>
          <w:szCs w:val="24"/>
        </w:rPr>
      </w:pPr>
      <w:r w:rsidRPr="00082E58">
        <w:rPr>
          <w:b/>
          <w:szCs w:val="24"/>
        </w:rPr>
        <w:t>Head of H</w:t>
      </w:r>
      <w:r>
        <w:rPr>
          <w:b/>
          <w:szCs w:val="24"/>
        </w:rPr>
        <w:t xml:space="preserve">uman </w:t>
      </w:r>
      <w:r w:rsidRPr="00082E58">
        <w:rPr>
          <w:b/>
          <w:szCs w:val="24"/>
        </w:rPr>
        <w:t>R</w:t>
      </w:r>
      <w:r>
        <w:rPr>
          <w:b/>
          <w:szCs w:val="24"/>
        </w:rPr>
        <w:t>esources (HR) and Development</w:t>
      </w:r>
    </w:p>
    <w:p w:rsidR="004A3202" w:rsidRPr="00082E58" w:rsidRDefault="004A3202" w:rsidP="004A3202">
      <w:pPr>
        <w:rPr>
          <w:b/>
          <w:szCs w:val="24"/>
        </w:rPr>
      </w:pPr>
    </w:p>
    <w:p w:rsidR="004A3202" w:rsidRDefault="004A3202" w:rsidP="004A3202">
      <w:pPr>
        <w:rPr>
          <w:rFonts w:cs="Arial"/>
        </w:rPr>
      </w:pPr>
      <w:r>
        <w:rPr>
          <w:szCs w:val="24"/>
        </w:rPr>
        <w:t>The Human Resources and Development (HRD) Shared Service with Buckinghamshire County Council will end on 30</w:t>
      </w:r>
      <w:r w:rsidRPr="00F974A6">
        <w:rPr>
          <w:szCs w:val="24"/>
          <w:vertAlign w:val="superscript"/>
        </w:rPr>
        <w:t>th</w:t>
      </w:r>
      <w:r>
        <w:rPr>
          <w:szCs w:val="24"/>
        </w:rPr>
        <w:t xml:space="preserve"> September 2019.  A number of HRD staff will return to Harrow under the TUPE regulations but a service lead will not.  Given the importance of this service to the organisation, </w:t>
      </w:r>
      <w:r>
        <w:rPr>
          <w:rFonts w:cs="Arial"/>
          <w:szCs w:val="21"/>
        </w:rPr>
        <w:t>the Chief Officers’ Employment Panel at its meeting on 26</w:t>
      </w:r>
      <w:r w:rsidRPr="003D4308">
        <w:rPr>
          <w:rFonts w:cs="Arial"/>
          <w:szCs w:val="21"/>
          <w:vertAlign w:val="superscript"/>
        </w:rPr>
        <w:t>th</w:t>
      </w:r>
      <w:r>
        <w:rPr>
          <w:rFonts w:cs="Arial"/>
          <w:szCs w:val="21"/>
        </w:rPr>
        <w:t xml:space="preserve"> February 2019 agreed that </w:t>
      </w:r>
      <w:r>
        <w:rPr>
          <w:szCs w:val="24"/>
        </w:rPr>
        <w:t>a new post of Head of HRD be created and recruited to on a permanent basis.  The role has been evaluated at D1 and as the top of the pay point of this grade will exceed £100,000 from 1</w:t>
      </w:r>
      <w:r w:rsidRPr="005E3C6B">
        <w:rPr>
          <w:szCs w:val="24"/>
          <w:vertAlign w:val="superscript"/>
        </w:rPr>
        <w:t>st</w:t>
      </w:r>
      <w:r>
        <w:rPr>
          <w:szCs w:val="24"/>
        </w:rPr>
        <w:t xml:space="preserve"> April 2019 approval was sought from the Panel. Recruitment for the role has yet to commence.  </w:t>
      </w:r>
    </w:p>
    <w:p w:rsidR="004A3202" w:rsidRDefault="004A3202" w:rsidP="004A3202">
      <w:pPr>
        <w:tabs>
          <w:tab w:val="left" w:pos="567"/>
        </w:tabs>
        <w:rPr>
          <w:rFonts w:cs="Arial"/>
        </w:rPr>
      </w:pPr>
    </w:p>
    <w:p w:rsidR="004A3202" w:rsidRDefault="004A3202" w:rsidP="004A3202">
      <w:pPr>
        <w:autoSpaceDE w:val="0"/>
        <w:autoSpaceDN w:val="0"/>
        <w:adjustRightInd w:val="0"/>
        <w:rPr>
          <w:rFonts w:cs="Arial"/>
          <w:szCs w:val="24"/>
        </w:rPr>
      </w:pPr>
    </w:p>
    <w:p w:rsidR="004A3202" w:rsidRDefault="004A3202" w:rsidP="004A3202">
      <w:pPr>
        <w:autoSpaceDE w:val="0"/>
        <w:autoSpaceDN w:val="0"/>
        <w:adjustRightInd w:val="0"/>
        <w:rPr>
          <w:rFonts w:cs="Arial"/>
          <w:b/>
          <w:color w:val="000000"/>
          <w:szCs w:val="24"/>
        </w:rPr>
      </w:pPr>
      <w:r w:rsidRPr="004C3F95">
        <w:rPr>
          <w:rFonts w:cs="Arial"/>
          <w:b/>
          <w:color w:val="000000"/>
          <w:szCs w:val="24"/>
        </w:rPr>
        <w:t>Redundancy/Severance payments over £100,000</w:t>
      </w:r>
    </w:p>
    <w:p w:rsidR="004A3202" w:rsidRDefault="004A3202" w:rsidP="004A3202">
      <w:pPr>
        <w:autoSpaceDE w:val="0"/>
        <w:autoSpaceDN w:val="0"/>
        <w:adjustRightInd w:val="0"/>
        <w:ind w:firstLine="360"/>
        <w:rPr>
          <w:rFonts w:cs="Arial"/>
          <w:b/>
          <w:color w:val="000000"/>
          <w:szCs w:val="24"/>
        </w:rPr>
      </w:pPr>
    </w:p>
    <w:p w:rsidR="004A3202" w:rsidRPr="004C3F95" w:rsidRDefault="004A3202" w:rsidP="004A3202">
      <w:pPr>
        <w:autoSpaceDE w:val="0"/>
        <w:autoSpaceDN w:val="0"/>
        <w:adjustRightInd w:val="0"/>
        <w:rPr>
          <w:rFonts w:cs="Arial"/>
          <w:color w:val="000000"/>
          <w:szCs w:val="24"/>
        </w:rPr>
      </w:pPr>
      <w:r w:rsidRPr="004C3F95">
        <w:rPr>
          <w:rFonts w:cs="Arial"/>
          <w:color w:val="000000"/>
          <w:szCs w:val="24"/>
        </w:rPr>
        <w:t>There are no redundancy or severance payments to report over £100</w:t>
      </w:r>
      <w:r>
        <w:rPr>
          <w:rFonts w:cs="Arial"/>
          <w:color w:val="000000"/>
          <w:szCs w:val="24"/>
        </w:rPr>
        <w:t>,</w:t>
      </w:r>
      <w:r w:rsidRPr="004C3F95">
        <w:rPr>
          <w:rFonts w:cs="Arial"/>
          <w:color w:val="000000"/>
          <w:szCs w:val="24"/>
        </w:rPr>
        <w:t>000</w:t>
      </w:r>
      <w:r>
        <w:rPr>
          <w:rFonts w:cs="Arial"/>
          <w:color w:val="000000"/>
          <w:szCs w:val="24"/>
        </w:rPr>
        <w:t>.</w:t>
      </w:r>
    </w:p>
    <w:p w:rsidR="004A3202" w:rsidRDefault="004A3202" w:rsidP="004A3202">
      <w:pPr>
        <w:ind w:left="207"/>
        <w:rPr>
          <w:szCs w:val="24"/>
        </w:rPr>
      </w:pPr>
    </w:p>
    <w:p w:rsidR="004A3202" w:rsidRDefault="004A3202" w:rsidP="004A3202">
      <w:pPr>
        <w:pStyle w:val="Heading2"/>
      </w:pPr>
      <w:r>
        <w:t>Legal Implications</w:t>
      </w:r>
    </w:p>
    <w:p w:rsidR="004A3202" w:rsidRDefault="004A3202" w:rsidP="004A3202">
      <w:pPr>
        <w:ind w:left="207"/>
        <w:rPr>
          <w:szCs w:val="24"/>
        </w:rPr>
      </w:pPr>
    </w:p>
    <w:p w:rsidR="004A3202" w:rsidRPr="00E41DF5" w:rsidRDefault="004A3202" w:rsidP="004A3202">
      <w:pPr>
        <w:autoSpaceDE w:val="0"/>
        <w:autoSpaceDN w:val="0"/>
        <w:rPr>
          <w:szCs w:val="24"/>
        </w:rPr>
      </w:pPr>
      <w:r w:rsidRPr="00960872">
        <w:rPr>
          <w:rFonts w:cs="Arial"/>
          <w:szCs w:val="24"/>
        </w:rPr>
        <w:t>Harrow Council’s Pay Policy Statement 2018</w:t>
      </w:r>
      <w:r>
        <w:rPr>
          <w:rFonts w:cs="Arial"/>
          <w:szCs w:val="24"/>
        </w:rPr>
        <w:t xml:space="preserve"> provides that</w:t>
      </w:r>
      <w:r w:rsidRPr="00960872">
        <w:rPr>
          <w:rFonts w:cs="Arial"/>
          <w:szCs w:val="24"/>
        </w:rPr>
        <w:t>:</w:t>
      </w:r>
      <w:r>
        <w:rPr>
          <w:rFonts w:cs="Arial"/>
          <w:szCs w:val="24"/>
        </w:rPr>
        <w:t xml:space="preserve"> ‘</w:t>
      </w:r>
      <w:r>
        <w:t xml:space="preserve">All employees, including Chief Officers are normally appointed on the lowest </w:t>
      </w:r>
      <w:r w:rsidRPr="00811C2A">
        <w:t xml:space="preserve">pay spine column point </w:t>
      </w:r>
      <w:r>
        <w:t>for their job evaluated grade.  In exceptional circumstances employees may be appointed at a higher point within the evaluated grade.</w:t>
      </w:r>
      <w:r w:rsidRPr="00E41DF5">
        <w:rPr>
          <w:szCs w:val="24"/>
        </w:rPr>
        <w:t xml:space="preserve"> The Council may apply market supplement payments to jobs with recruitment or retention difficulties.’</w:t>
      </w:r>
    </w:p>
    <w:p w:rsidR="004A3202" w:rsidRDefault="004A3202" w:rsidP="004A3202">
      <w:pPr>
        <w:rPr>
          <w:szCs w:val="24"/>
        </w:rPr>
      </w:pPr>
    </w:p>
    <w:p w:rsidR="004A3202" w:rsidRDefault="004A3202" w:rsidP="004A3202">
      <w:pPr>
        <w:rPr>
          <w:szCs w:val="24"/>
        </w:rPr>
      </w:pPr>
      <w:r>
        <w:rPr>
          <w:szCs w:val="24"/>
        </w:rPr>
        <w:lastRenderedPageBreak/>
        <w:t xml:space="preserve">The Council’s Constitution requires that all approved remuneration packages, for any post, of </w:t>
      </w:r>
      <w:r>
        <w:rPr>
          <w:rFonts w:cs="Arial"/>
          <w:szCs w:val="24"/>
        </w:rPr>
        <w:t>£</w:t>
      </w:r>
      <w:r>
        <w:rPr>
          <w:szCs w:val="24"/>
        </w:rPr>
        <w:t>100,000 or greater be reported by the Chief Officers Employment Panel to Council for information. In addition, an offer of employment shall only be made to a chief officer where there is no well-founded objection by any member of the Executive.</w:t>
      </w:r>
    </w:p>
    <w:p w:rsidR="004A3202" w:rsidRDefault="004A3202" w:rsidP="004A3202">
      <w:pPr>
        <w:rPr>
          <w:szCs w:val="24"/>
        </w:rPr>
      </w:pPr>
    </w:p>
    <w:p w:rsidR="004A3202" w:rsidRDefault="004A3202" w:rsidP="004A3202">
      <w:pPr>
        <w:pStyle w:val="Heading2"/>
      </w:pPr>
      <w:r>
        <w:t>Financial Implications</w:t>
      </w:r>
    </w:p>
    <w:p w:rsidR="004A3202" w:rsidRDefault="004A3202" w:rsidP="004A3202">
      <w:pPr>
        <w:pStyle w:val="Heading2"/>
      </w:pPr>
    </w:p>
    <w:p w:rsidR="004A3202" w:rsidRDefault="004A3202" w:rsidP="004A3202">
      <w:r>
        <w:t>The financial implications of this report will be contained within the current resources of the appropriate directorates.</w:t>
      </w:r>
    </w:p>
    <w:p w:rsidR="004A3202" w:rsidRDefault="004A3202" w:rsidP="004A3202"/>
    <w:p w:rsidR="004A3202" w:rsidRDefault="004A3202" w:rsidP="004A3202">
      <w:pPr>
        <w:rPr>
          <w:rFonts w:cs="Arial"/>
          <w:szCs w:val="24"/>
          <w:lang w:eastAsia="en-GB"/>
        </w:rPr>
      </w:pPr>
      <w:r w:rsidRPr="00DC7741">
        <w:rPr>
          <w:rFonts w:cs="Arial"/>
          <w:szCs w:val="24"/>
          <w:lang w:eastAsia="en-GB"/>
        </w:rPr>
        <w:t>The interim senior management</w:t>
      </w:r>
      <w:r>
        <w:rPr>
          <w:rFonts w:cs="Arial"/>
          <w:szCs w:val="24"/>
          <w:lang w:eastAsia="en-GB"/>
        </w:rPr>
        <w:t xml:space="preserve"> arrangements of payment for acting up to cover the Corporate Director of Resources post ceased on the 1</w:t>
      </w:r>
      <w:r w:rsidRPr="000B3EAF">
        <w:rPr>
          <w:rFonts w:cs="Arial"/>
          <w:szCs w:val="24"/>
          <w:vertAlign w:val="superscript"/>
          <w:lang w:eastAsia="en-GB"/>
        </w:rPr>
        <w:t>st</w:t>
      </w:r>
      <w:r>
        <w:rPr>
          <w:rFonts w:cs="Arial"/>
          <w:szCs w:val="24"/>
          <w:lang w:eastAsia="en-GB"/>
        </w:rPr>
        <w:t xml:space="preserve"> April 2019.</w:t>
      </w:r>
    </w:p>
    <w:p w:rsidR="004A3202" w:rsidRDefault="004A3202" w:rsidP="004A3202">
      <w:pPr>
        <w:rPr>
          <w:rFonts w:cs="Arial"/>
          <w:szCs w:val="24"/>
          <w:lang w:eastAsia="en-GB"/>
        </w:rPr>
      </w:pPr>
    </w:p>
    <w:p w:rsidR="004A3202" w:rsidRDefault="004A3202" w:rsidP="004A3202">
      <w:pPr>
        <w:pStyle w:val="Heading2"/>
      </w:pPr>
      <w:r>
        <w:t>Risk Management Implications</w:t>
      </w:r>
    </w:p>
    <w:p w:rsidR="004A3202" w:rsidRDefault="004A3202" w:rsidP="004A3202">
      <w:pPr>
        <w:pStyle w:val="Heading1"/>
        <w:rPr>
          <w:b/>
          <w:sz w:val="24"/>
          <w:szCs w:val="24"/>
        </w:rPr>
      </w:pPr>
    </w:p>
    <w:p w:rsidR="004A3202" w:rsidRPr="00DD4251" w:rsidRDefault="004A3202" w:rsidP="004A3202">
      <w:pPr>
        <w:tabs>
          <w:tab w:val="left" w:pos="5610"/>
        </w:tabs>
        <w:ind w:right="81"/>
        <w:rPr>
          <w:rFonts w:cs="Arial"/>
          <w:szCs w:val="24"/>
          <w:lang w:val="en-US"/>
        </w:rPr>
      </w:pPr>
      <w:r w:rsidRPr="00DD4251">
        <w:rPr>
          <w:rFonts w:cs="Arial"/>
          <w:szCs w:val="24"/>
          <w:lang w:val="en-US"/>
        </w:rPr>
        <w:t>Risk included on Directorate</w:t>
      </w:r>
      <w:r>
        <w:rPr>
          <w:rFonts w:cs="Arial"/>
          <w:szCs w:val="24"/>
          <w:lang w:val="en-US"/>
        </w:rPr>
        <w:t>s</w:t>
      </w:r>
      <w:r w:rsidRPr="00DD4251">
        <w:rPr>
          <w:rFonts w:cs="Arial"/>
          <w:szCs w:val="24"/>
          <w:lang w:val="en-US"/>
        </w:rPr>
        <w:t xml:space="preserve"> risk register</w:t>
      </w:r>
      <w:r>
        <w:rPr>
          <w:rFonts w:cs="Arial"/>
          <w:szCs w:val="24"/>
          <w:lang w:val="en-US"/>
        </w:rPr>
        <w:t>s</w:t>
      </w:r>
      <w:r w:rsidRPr="00DD4251">
        <w:rPr>
          <w:rFonts w:cs="Arial"/>
          <w:szCs w:val="24"/>
          <w:lang w:val="en-US"/>
        </w:rPr>
        <w:t xml:space="preserve">?  </w:t>
      </w:r>
      <w:r w:rsidRPr="00F82A54">
        <w:rPr>
          <w:rFonts w:cs="Arial"/>
          <w:b/>
          <w:szCs w:val="24"/>
          <w:lang w:val="en-US"/>
        </w:rPr>
        <w:t>No</w:t>
      </w:r>
      <w:r w:rsidRPr="00DD4251">
        <w:rPr>
          <w:rFonts w:cs="Arial"/>
          <w:szCs w:val="24"/>
          <w:lang w:val="en-US"/>
        </w:rPr>
        <w:tab/>
      </w:r>
    </w:p>
    <w:p w:rsidR="004A3202" w:rsidRPr="00DD4251" w:rsidRDefault="004A3202" w:rsidP="004A3202">
      <w:pPr>
        <w:ind w:right="141"/>
        <w:rPr>
          <w:rFonts w:cs="Arial"/>
          <w:szCs w:val="24"/>
          <w:lang w:val="en-US" w:eastAsia="en-GB"/>
        </w:rPr>
      </w:pPr>
      <w:r w:rsidRPr="00DD4251">
        <w:rPr>
          <w:rFonts w:cs="Arial"/>
          <w:szCs w:val="24"/>
          <w:lang w:val="en-US" w:eastAsia="en-GB"/>
        </w:rPr>
        <w:t> </w:t>
      </w:r>
    </w:p>
    <w:p w:rsidR="004A3202" w:rsidRPr="00F82A54" w:rsidRDefault="004A3202" w:rsidP="004A3202">
      <w:pPr>
        <w:tabs>
          <w:tab w:val="left" w:pos="4488"/>
        </w:tabs>
        <w:ind w:right="141"/>
        <w:rPr>
          <w:rFonts w:cs="Arial"/>
          <w:b/>
          <w:szCs w:val="24"/>
          <w:lang w:val="en-US" w:eastAsia="en-GB"/>
        </w:rPr>
      </w:pPr>
      <w:r w:rsidRPr="00DD4251">
        <w:rPr>
          <w:rFonts w:cs="Arial"/>
          <w:szCs w:val="24"/>
          <w:lang w:val="en-US" w:eastAsia="en-GB"/>
        </w:rPr>
        <w:t xml:space="preserve">Separate risk register in place?  </w:t>
      </w:r>
      <w:r w:rsidRPr="00F82A54">
        <w:rPr>
          <w:rFonts w:cs="Arial"/>
          <w:b/>
          <w:szCs w:val="24"/>
          <w:lang w:val="en-US" w:eastAsia="en-GB"/>
        </w:rPr>
        <w:t>No</w:t>
      </w:r>
    </w:p>
    <w:p w:rsidR="004A3202" w:rsidRPr="004168D2" w:rsidRDefault="004A3202" w:rsidP="004A3202">
      <w:pPr>
        <w:pStyle w:val="BodyTextIndent"/>
        <w:ind w:left="0"/>
        <w:rPr>
          <w:szCs w:val="24"/>
        </w:rPr>
      </w:pPr>
    </w:p>
    <w:p w:rsidR="004A3202" w:rsidRPr="004168D2" w:rsidRDefault="004A3202" w:rsidP="004A3202">
      <w:pPr>
        <w:pStyle w:val="BodyTextIndent"/>
        <w:ind w:left="0"/>
        <w:rPr>
          <w:szCs w:val="24"/>
        </w:rPr>
      </w:pPr>
      <w:r w:rsidRPr="004168D2">
        <w:rPr>
          <w:szCs w:val="24"/>
        </w:rPr>
        <w:t xml:space="preserve">The report complies with the </w:t>
      </w:r>
      <w:r>
        <w:rPr>
          <w:szCs w:val="24"/>
        </w:rPr>
        <w:t>C</w:t>
      </w:r>
      <w:r w:rsidRPr="004168D2">
        <w:rPr>
          <w:szCs w:val="24"/>
        </w:rPr>
        <w:t xml:space="preserve">hief </w:t>
      </w:r>
      <w:r>
        <w:rPr>
          <w:szCs w:val="24"/>
        </w:rPr>
        <w:t>O</w:t>
      </w:r>
      <w:r w:rsidRPr="004168D2">
        <w:rPr>
          <w:szCs w:val="24"/>
        </w:rPr>
        <w:t>fficer</w:t>
      </w:r>
      <w:r>
        <w:rPr>
          <w:szCs w:val="24"/>
        </w:rPr>
        <w:t xml:space="preserve"> and senior manager </w:t>
      </w:r>
      <w:r w:rsidRPr="004168D2">
        <w:rPr>
          <w:szCs w:val="24"/>
        </w:rPr>
        <w:t xml:space="preserve">contractual terms and conditions of employment and relevant employment law.  </w:t>
      </w:r>
    </w:p>
    <w:p w:rsidR="004A3202" w:rsidRDefault="004A3202" w:rsidP="004A3202"/>
    <w:p w:rsidR="004A3202" w:rsidRDefault="004A3202" w:rsidP="004A3202">
      <w:pPr>
        <w:pStyle w:val="Heading2"/>
      </w:pPr>
      <w:r>
        <w:t>Equality Implications/Public Sector Equality Duty</w:t>
      </w:r>
    </w:p>
    <w:p w:rsidR="004A3202" w:rsidRPr="00271045" w:rsidRDefault="004A3202" w:rsidP="004A3202">
      <w:pPr>
        <w:ind w:left="207"/>
      </w:pPr>
    </w:p>
    <w:p w:rsidR="004A3202" w:rsidRPr="00F82A54" w:rsidRDefault="004A3202" w:rsidP="004A3202">
      <w:pPr>
        <w:rPr>
          <w:b/>
        </w:rPr>
      </w:pPr>
      <w:r w:rsidRPr="004A2543">
        <w:t xml:space="preserve">Was an Equality Impact Assessment carried out?  </w:t>
      </w:r>
      <w:r w:rsidRPr="00066ED4">
        <w:rPr>
          <w:b/>
        </w:rPr>
        <w:t>No</w:t>
      </w:r>
    </w:p>
    <w:p w:rsidR="004A3202" w:rsidRPr="004A2543" w:rsidRDefault="004A3202" w:rsidP="004A3202"/>
    <w:p w:rsidR="004A3202" w:rsidRDefault="004A3202" w:rsidP="004A3202">
      <w:pPr>
        <w:rPr>
          <w:rFonts w:cs="Arial"/>
          <w:szCs w:val="24"/>
        </w:rPr>
      </w:pPr>
      <w:r>
        <w:rPr>
          <w:rFonts w:cs="Arial"/>
          <w:szCs w:val="24"/>
        </w:rPr>
        <w:t>An Equality Impact Assessment (</w:t>
      </w:r>
      <w:proofErr w:type="spellStart"/>
      <w:r>
        <w:rPr>
          <w:rFonts w:cs="Arial"/>
          <w:szCs w:val="24"/>
        </w:rPr>
        <w:t>EqIA</w:t>
      </w:r>
      <w:proofErr w:type="spellEnd"/>
      <w:r>
        <w:rPr>
          <w:rFonts w:cs="Arial"/>
          <w:szCs w:val="24"/>
        </w:rPr>
        <w:t>) has not been carried out, as the diversity of senior management is reported annually to the Employees Consultative Forum. The latest annual report considered in December 2018 identified from the Council’s workforce profile data, that t</w:t>
      </w:r>
      <w:r w:rsidRPr="009B1D78">
        <w:rPr>
          <w:rFonts w:cs="Arial"/>
          <w:szCs w:val="24"/>
        </w:rPr>
        <w:t xml:space="preserve">here is an under representation of </w:t>
      </w:r>
      <w:r>
        <w:rPr>
          <w:rFonts w:cs="Arial"/>
          <w:szCs w:val="24"/>
        </w:rPr>
        <w:t xml:space="preserve">women, </w:t>
      </w:r>
      <w:r w:rsidRPr="009B1D78">
        <w:rPr>
          <w:rFonts w:cs="Arial"/>
          <w:szCs w:val="24"/>
        </w:rPr>
        <w:t xml:space="preserve">BAME and disabled staff in the </w:t>
      </w:r>
      <w:r>
        <w:rPr>
          <w:rFonts w:cs="Arial"/>
          <w:szCs w:val="24"/>
        </w:rPr>
        <w:t xml:space="preserve">current </w:t>
      </w:r>
      <w:r w:rsidRPr="009B1D78">
        <w:rPr>
          <w:rFonts w:cs="Arial"/>
          <w:szCs w:val="24"/>
        </w:rPr>
        <w:t xml:space="preserve">senior management structure.  </w:t>
      </w:r>
      <w:r>
        <w:rPr>
          <w:rFonts w:cs="Arial"/>
          <w:szCs w:val="24"/>
        </w:rPr>
        <w:t>The following actions have been proposed over the last number of years:</w:t>
      </w:r>
    </w:p>
    <w:p w:rsidR="004A3202" w:rsidRDefault="004A3202" w:rsidP="004A3202">
      <w:pPr>
        <w:ind w:left="207"/>
        <w:rPr>
          <w:rFonts w:cs="Arial"/>
          <w:szCs w:val="24"/>
        </w:rPr>
      </w:pPr>
    </w:p>
    <w:p w:rsidR="004A3202" w:rsidRDefault="004A3202" w:rsidP="004A3202">
      <w:pPr>
        <w:numPr>
          <w:ilvl w:val="0"/>
          <w:numId w:val="15"/>
        </w:numPr>
        <w:tabs>
          <w:tab w:val="clear" w:pos="720"/>
          <w:tab w:val="num" w:pos="360"/>
        </w:tabs>
        <w:ind w:left="360"/>
        <w:rPr>
          <w:rFonts w:cs="Arial"/>
        </w:rPr>
      </w:pPr>
      <w:r w:rsidRPr="00784841">
        <w:rPr>
          <w:szCs w:val="24"/>
        </w:rPr>
        <w:t>The Council will ensure all affected managers are treated fairly and there is no discrimination</w:t>
      </w:r>
      <w:r>
        <w:rPr>
          <w:szCs w:val="24"/>
        </w:rPr>
        <w:t>.</w:t>
      </w:r>
    </w:p>
    <w:p w:rsidR="004A3202" w:rsidRDefault="004A3202" w:rsidP="004A3202">
      <w:pPr>
        <w:rPr>
          <w:rFonts w:cs="Arial"/>
        </w:rPr>
      </w:pPr>
    </w:p>
    <w:p w:rsidR="004A3202" w:rsidRDefault="004A3202" w:rsidP="004A3202">
      <w:pPr>
        <w:numPr>
          <w:ilvl w:val="0"/>
          <w:numId w:val="15"/>
        </w:numPr>
        <w:tabs>
          <w:tab w:val="clear" w:pos="720"/>
          <w:tab w:val="num" w:pos="360"/>
        </w:tabs>
        <w:ind w:left="360"/>
      </w:pPr>
      <w:r w:rsidRPr="00784841">
        <w:rPr>
          <w:rFonts w:cs="Arial"/>
          <w:szCs w:val="24"/>
        </w:rPr>
        <w:t xml:space="preserve">The </w:t>
      </w:r>
      <w:r w:rsidRPr="004A3202">
        <w:rPr>
          <w:szCs w:val="24"/>
        </w:rPr>
        <w:t>Council</w:t>
      </w:r>
      <w:r w:rsidRPr="00784841">
        <w:rPr>
          <w:rFonts w:cs="Arial"/>
          <w:szCs w:val="24"/>
        </w:rPr>
        <w:t xml:space="preserve"> will continue to promote equality of opportunity and encourage and facilitate the development and appointment of underrepresented groups into senior posts.</w:t>
      </w:r>
    </w:p>
    <w:p w:rsidR="004A3202" w:rsidRDefault="004A3202" w:rsidP="004A3202">
      <w:pPr>
        <w:rPr>
          <w:rFonts w:cs="Arial"/>
        </w:rPr>
      </w:pPr>
    </w:p>
    <w:p w:rsidR="004A3202" w:rsidRDefault="004A3202" w:rsidP="004A3202">
      <w:pPr>
        <w:rPr>
          <w:rFonts w:cs="Arial"/>
        </w:rPr>
      </w:pPr>
      <w:r>
        <w:rPr>
          <w:rFonts w:cs="Arial"/>
        </w:rPr>
        <w:t xml:space="preserve">As the Change Management and Organisational Review Policy and Procedure will be used to implement the new structure, first consideration to either assimilation or ring-fencing is contractually required.  The outcome of this exercise may result in no change to this under representation. </w:t>
      </w:r>
    </w:p>
    <w:p w:rsidR="004A3202" w:rsidRDefault="004A3202" w:rsidP="004A3202">
      <w:pPr>
        <w:rPr>
          <w:rFonts w:cs="Arial"/>
        </w:rPr>
      </w:pPr>
    </w:p>
    <w:p w:rsidR="004A3202" w:rsidRDefault="004A3202" w:rsidP="004A3202">
      <w:pPr>
        <w:pStyle w:val="BodyText2"/>
        <w:spacing w:line="240" w:lineRule="auto"/>
      </w:pPr>
      <w:r>
        <w:t xml:space="preserve">The Council will continue to monitor the representation of women, black and ethnic minorities and those with a disability in senior management through performance indicators and report this annually to the </w:t>
      </w:r>
      <w:r>
        <w:rPr>
          <w:rFonts w:cs="Arial"/>
          <w:szCs w:val="24"/>
        </w:rPr>
        <w:t>Employees Consultative Forum</w:t>
      </w:r>
      <w:r>
        <w:t>.</w:t>
      </w:r>
    </w:p>
    <w:p w:rsidR="004A3202" w:rsidRDefault="004A3202" w:rsidP="004A3202">
      <w:pPr>
        <w:pStyle w:val="Heading2"/>
      </w:pPr>
    </w:p>
    <w:p w:rsidR="004A3202" w:rsidRPr="00CD57D8" w:rsidRDefault="004A3202" w:rsidP="004A3202">
      <w:pPr>
        <w:pStyle w:val="Heading2"/>
      </w:pPr>
      <w:r>
        <w:t xml:space="preserve">Council </w:t>
      </w:r>
      <w:r w:rsidRPr="00CD57D8">
        <w:t>Priorities</w:t>
      </w:r>
    </w:p>
    <w:p w:rsidR="004A3202" w:rsidRPr="00CD57D8" w:rsidRDefault="004A3202" w:rsidP="004A3202">
      <w:pPr>
        <w:keepNext/>
        <w:ind w:right="144"/>
        <w:rPr>
          <w:rFonts w:cs="Arial"/>
          <w:szCs w:val="24"/>
          <w:lang w:val="en-US"/>
        </w:rPr>
      </w:pPr>
    </w:p>
    <w:p w:rsidR="004A3202" w:rsidRDefault="004A3202" w:rsidP="004A3202">
      <w:pPr>
        <w:rPr>
          <w:rFonts w:cs="Arial"/>
          <w:szCs w:val="24"/>
        </w:rPr>
      </w:pPr>
      <w:r>
        <w:rPr>
          <w:rFonts w:cs="Arial"/>
          <w:szCs w:val="24"/>
        </w:rPr>
        <w:t xml:space="preserve">The Council’s vision and priorities are supported by extending these arrangements. </w:t>
      </w:r>
    </w:p>
    <w:p w:rsidR="004A3202" w:rsidRDefault="004A3202" w:rsidP="004A3202">
      <w:pPr>
        <w:rPr>
          <w:rFonts w:cs="Arial"/>
          <w:szCs w:val="24"/>
        </w:rPr>
      </w:pPr>
    </w:p>
    <w:p w:rsidR="004A3202" w:rsidRDefault="004A3202" w:rsidP="004A3202">
      <w:pPr>
        <w:rPr>
          <w:rFonts w:cs="Arial"/>
          <w:szCs w:val="24"/>
        </w:rPr>
      </w:pPr>
      <w:r w:rsidRPr="00D378CC">
        <w:rPr>
          <w:rFonts w:cs="Arial"/>
          <w:szCs w:val="24"/>
        </w:rPr>
        <w:t xml:space="preserve">The Council’s </w:t>
      </w:r>
      <w:r>
        <w:rPr>
          <w:rFonts w:cs="Arial"/>
          <w:szCs w:val="24"/>
        </w:rPr>
        <w:t>priorities are:</w:t>
      </w:r>
    </w:p>
    <w:p w:rsidR="004A3202" w:rsidRDefault="004A3202" w:rsidP="004A3202">
      <w:pPr>
        <w:rPr>
          <w:rFonts w:cs="Arial"/>
          <w:szCs w:val="24"/>
        </w:rPr>
      </w:pPr>
    </w:p>
    <w:p w:rsidR="004A3202" w:rsidRPr="004A3202" w:rsidRDefault="004A3202" w:rsidP="004A3202">
      <w:pPr>
        <w:numPr>
          <w:ilvl w:val="0"/>
          <w:numId w:val="16"/>
        </w:numPr>
        <w:spacing w:after="200"/>
        <w:ind w:left="432"/>
        <w:contextualSpacing/>
        <w:rPr>
          <w:rFonts w:eastAsia="Calibri" w:cs="Arial"/>
          <w:szCs w:val="22"/>
        </w:rPr>
      </w:pPr>
      <w:r w:rsidRPr="004A3202">
        <w:rPr>
          <w:rFonts w:eastAsia="Calibri" w:cs="Arial"/>
          <w:szCs w:val="22"/>
        </w:rPr>
        <w:t>Build a Better Harrow</w:t>
      </w:r>
    </w:p>
    <w:p w:rsidR="004A3202" w:rsidRPr="004A3202" w:rsidRDefault="004A3202" w:rsidP="004A3202">
      <w:pPr>
        <w:numPr>
          <w:ilvl w:val="0"/>
          <w:numId w:val="16"/>
        </w:numPr>
        <w:spacing w:after="200"/>
        <w:ind w:left="432"/>
        <w:contextualSpacing/>
        <w:rPr>
          <w:rFonts w:eastAsia="Calibri" w:cs="Arial"/>
          <w:szCs w:val="22"/>
        </w:rPr>
      </w:pPr>
      <w:r w:rsidRPr="004A3202">
        <w:rPr>
          <w:rFonts w:eastAsia="Calibri" w:cs="Arial"/>
          <w:szCs w:val="22"/>
        </w:rPr>
        <w:t>Supporting Those Most in Need</w:t>
      </w:r>
    </w:p>
    <w:p w:rsidR="004A3202" w:rsidRPr="004A3202" w:rsidRDefault="004A3202" w:rsidP="004A3202">
      <w:pPr>
        <w:numPr>
          <w:ilvl w:val="0"/>
          <w:numId w:val="16"/>
        </w:numPr>
        <w:spacing w:after="200"/>
        <w:ind w:left="432"/>
        <w:contextualSpacing/>
        <w:rPr>
          <w:rFonts w:eastAsia="Calibri" w:cs="Arial"/>
          <w:szCs w:val="22"/>
        </w:rPr>
      </w:pPr>
      <w:r w:rsidRPr="004A3202">
        <w:rPr>
          <w:rFonts w:eastAsia="Calibri" w:cs="Arial"/>
          <w:szCs w:val="22"/>
        </w:rPr>
        <w:t>Protecting Vital Public Services</w:t>
      </w:r>
    </w:p>
    <w:p w:rsidR="004A3202" w:rsidRPr="004A3202" w:rsidRDefault="004A3202" w:rsidP="004A3202">
      <w:pPr>
        <w:numPr>
          <w:ilvl w:val="0"/>
          <w:numId w:val="16"/>
        </w:numPr>
        <w:spacing w:after="200"/>
        <w:ind w:left="432"/>
        <w:contextualSpacing/>
        <w:rPr>
          <w:sz w:val="28"/>
        </w:rPr>
      </w:pPr>
      <w:r w:rsidRPr="004A3202">
        <w:rPr>
          <w:rFonts w:eastAsia="Calibri" w:cs="Arial"/>
          <w:szCs w:val="22"/>
        </w:rPr>
        <w:t>Delivering a Strong Local Economy for All</w:t>
      </w:r>
    </w:p>
    <w:p w:rsidR="004A3202" w:rsidRPr="004A3202" w:rsidRDefault="004A3202" w:rsidP="004A3202">
      <w:pPr>
        <w:numPr>
          <w:ilvl w:val="0"/>
          <w:numId w:val="16"/>
        </w:numPr>
        <w:spacing w:after="200"/>
        <w:ind w:left="432"/>
        <w:contextualSpacing/>
        <w:rPr>
          <w:sz w:val="28"/>
        </w:rPr>
      </w:pPr>
      <w:r w:rsidRPr="004A3202">
        <w:rPr>
          <w:rFonts w:eastAsia="Calibri" w:cs="Arial"/>
          <w:szCs w:val="22"/>
        </w:rPr>
        <w:t>Modernising Harrow Council</w:t>
      </w:r>
    </w:p>
    <w:p w:rsidR="004A3202" w:rsidRDefault="004A3202" w:rsidP="004A3202">
      <w:pPr>
        <w:ind w:left="66"/>
        <w:jc w:val="both"/>
        <w:rPr>
          <w:rFonts w:cs="Arial"/>
          <w:szCs w:val="24"/>
        </w:rPr>
      </w:pPr>
    </w:p>
    <w:p w:rsidR="001B441D" w:rsidRPr="007B7BAC" w:rsidRDefault="001B441D" w:rsidP="001B441D">
      <w:pPr>
        <w:rPr>
          <w:rFonts w:cs="Arial"/>
        </w:rPr>
      </w:pPr>
    </w:p>
    <w:p w:rsidR="00C32DAE" w:rsidRPr="00612A64" w:rsidRDefault="00C32DAE" w:rsidP="00C32DAE">
      <w:pPr>
        <w:rPr>
          <w:rFonts w:ascii="Times New Roman" w:hAnsi="Times New Roman"/>
          <w:szCs w:val="24"/>
          <w:lang w:val="en-US"/>
        </w:rPr>
      </w:pPr>
      <w:r w:rsidRPr="00612A64">
        <w:rPr>
          <w:rFonts w:ascii="Times New Roman" w:hAnsi="Times New Roman"/>
          <w:szCs w:val="24"/>
          <w:lang w:val="en-US"/>
        </w:rPr>
        <w:t> </w:t>
      </w:r>
    </w:p>
    <w:p w:rsidR="002A2389" w:rsidRDefault="002A2389" w:rsidP="008D1750">
      <w:pPr>
        <w:pStyle w:val="Heading1"/>
        <w:keepNext/>
      </w:pPr>
      <w:r>
        <w:t>Section 3 - Statutory Officer Clearance</w:t>
      </w:r>
    </w:p>
    <w:p w:rsidR="002A2389" w:rsidRDefault="002A2389" w:rsidP="008D1750">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0"/>
        <w:gridCol w:w="356"/>
        <w:gridCol w:w="222"/>
        <w:gridCol w:w="3227"/>
      </w:tblGrid>
      <w:tr w:rsidR="00917F35" w:rsidTr="00A554A5">
        <w:tc>
          <w:tcPr>
            <w:tcW w:w="2791" w:type="pct"/>
            <w:tcBorders>
              <w:bottom w:val="nil"/>
              <w:right w:val="nil"/>
            </w:tcBorders>
          </w:tcPr>
          <w:p w:rsidR="00917F35" w:rsidRDefault="00917F35" w:rsidP="00A554A5">
            <w:pPr>
              <w:pStyle w:val="Infotext"/>
            </w:pPr>
          </w:p>
          <w:p w:rsidR="00917F35" w:rsidRDefault="00917F35" w:rsidP="00A554A5">
            <w:pPr>
              <w:pStyle w:val="Infotext"/>
            </w:pPr>
          </w:p>
        </w:tc>
        <w:tc>
          <w:tcPr>
            <w:tcW w:w="138" w:type="pct"/>
            <w:tcBorders>
              <w:left w:val="nil"/>
              <w:right w:val="nil"/>
            </w:tcBorders>
          </w:tcPr>
          <w:p w:rsidR="00917F35" w:rsidRDefault="00917F35" w:rsidP="00A554A5">
            <w:pPr>
              <w:pStyle w:val="Infotext"/>
            </w:pPr>
          </w:p>
        </w:tc>
        <w:tc>
          <w:tcPr>
            <w:tcW w:w="138" w:type="pct"/>
            <w:tcBorders>
              <w:left w:val="nil"/>
              <w:bottom w:val="nil"/>
              <w:right w:val="nil"/>
            </w:tcBorders>
          </w:tcPr>
          <w:p w:rsidR="00917F35" w:rsidRDefault="00917F35" w:rsidP="00A554A5">
            <w:pPr>
              <w:pStyle w:val="Infotext"/>
            </w:pPr>
          </w:p>
        </w:tc>
        <w:tc>
          <w:tcPr>
            <w:tcW w:w="1932" w:type="pct"/>
            <w:tcBorders>
              <w:left w:val="nil"/>
              <w:bottom w:val="nil"/>
            </w:tcBorders>
          </w:tcPr>
          <w:p w:rsidR="00917F35" w:rsidRDefault="00917F35" w:rsidP="00A554A5">
            <w:pPr>
              <w:pStyle w:val="Infotext"/>
            </w:pPr>
          </w:p>
          <w:p w:rsidR="00917F35" w:rsidRDefault="00917F35" w:rsidP="00A554A5">
            <w:pPr>
              <w:pStyle w:val="Infotext"/>
            </w:pPr>
          </w:p>
        </w:tc>
      </w:tr>
      <w:tr w:rsidR="00917F35" w:rsidTr="00A554A5">
        <w:tc>
          <w:tcPr>
            <w:tcW w:w="2791" w:type="pct"/>
            <w:tcBorders>
              <w:top w:val="nil"/>
              <w:bottom w:val="nil"/>
            </w:tcBorders>
          </w:tcPr>
          <w:p w:rsidR="00917F35" w:rsidRDefault="00917F35" w:rsidP="00A554A5">
            <w:pPr>
              <w:pStyle w:val="Infotext"/>
            </w:pPr>
            <w:r>
              <w:t>Name:  Dawn Calvert</w:t>
            </w:r>
          </w:p>
        </w:tc>
        <w:tc>
          <w:tcPr>
            <w:tcW w:w="138" w:type="pct"/>
            <w:tcBorders>
              <w:bottom w:val="single" w:sz="4" w:space="0" w:color="auto"/>
            </w:tcBorders>
          </w:tcPr>
          <w:p w:rsidR="00917F35" w:rsidRDefault="00917F35" w:rsidP="00A554A5">
            <w:pPr>
              <w:pStyle w:val="Infotext"/>
            </w:pPr>
            <w:r>
              <w:t>x</w:t>
            </w:r>
          </w:p>
        </w:tc>
        <w:tc>
          <w:tcPr>
            <w:tcW w:w="138" w:type="pct"/>
            <w:tcBorders>
              <w:top w:val="nil"/>
              <w:bottom w:val="nil"/>
              <w:right w:val="nil"/>
            </w:tcBorders>
          </w:tcPr>
          <w:p w:rsidR="00917F35" w:rsidRDefault="00917F35" w:rsidP="00A554A5">
            <w:pPr>
              <w:pStyle w:val="Infotext"/>
            </w:pPr>
          </w:p>
        </w:tc>
        <w:tc>
          <w:tcPr>
            <w:tcW w:w="1932" w:type="pct"/>
            <w:tcBorders>
              <w:top w:val="nil"/>
              <w:left w:val="nil"/>
              <w:bottom w:val="nil"/>
            </w:tcBorders>
          </w:tcPr>
          <w:p w:rsidR="00917F35" w:rsidRDefault="00917F35" w:rsidP="00A554A5">
            <w:pPr>
              <w:pStyle w:val="Infotext"/>
            </w:pPr>
            <w:r>
              <w:t>Chief Financial Officer</w:t>
            </w:r>
          </w:p>
        </w:tc>
      </w:tr>
      <w:tr w:rsidR="00917F35" w:rsidTr="00A554A5">
        <w:tc>
          <w:tcPr>
            <w:tcW w:w="2791" w:type="pct"/>
            <w:tcBorders>
              <w:top w:val="nil"/>
              <w:right w:val="nil"/>
            </w:tcBorders>
          </w:tcPr>
          <w:p w:rsidR="00917F35" w:rsidRDefault="00917F35" w:rsidP="00A554A5">
            <w:pPr>
              <w:pStyle w:val="Infotext"/>
            </w:pPr>
            <w:r>
              <w:t xml:space="preserve"> </w:t>
            </w:r>
          </w:p>
          <w:p w:rsidR="00917F35" w:rsidRDefault="00917F35" w:rsidP="00A554A5">
            <w:pPr>
              <w:pStyle w:val="Infotext"/>
            </w:pPr>
            <w:r>
              <w:t>Date:  7</w:t>
            </w:r>
            <w:r w:rsidRPr="003A412B">
              <w:rPr>
                <w:vertAlign w:val="superscript"/>
              </w:rPr>
              <w:t>th</w:t>
            </w:r>
            <w:r>
              <w:t xml:space="preserve"> May 2019</w:t>
            </w:r>
          </w:p>
        </w:tc>
        <w:tc>
          <w:tcPr>
            <w:tcW w:w="138" w:type="pct"/>
            <w:tcBorders>
              <w:left w:val="nil"/>
              <w:bottom w:val="single" w:sz="4" w:space="0" w:color="auto"/>
              <w:right w:val="nil"/>
            </w:tcBorders>
          </w:tcPr>
          <w:p w:rsidR="00917F35" w:rsidRDefault="00917F35" w:rsidP="00A554A5">
            <w:pPr>
              <w:pStyle w:val="Infotext"/>
            </w:pPr>
          </w:p>
        </w:tc>
        <w:tc>
          <w:tcPr>
            <w:tcW w:w="138" w:type="pct"/>
            <w:tcBorders>
              <w:top w:val="nil"/>
              <w:left w:val="nil"/>
              <w:right w:val="nil"/>
            </w:tcBorders>
          </w:tcPr>
          <w:p w:rsidR="00917F35" w:rsidRDefault="00917F35" w:rsidP="00A554A5">
            <w:pPr>
              <w:pStyle w:val="Infotext"/>
            </w:pPr>
          </w:p>
        </w:tc>
        <w:tc>
          <w:tcPr>
            <w:tcW w:w="1932" w:type="pct"/>
            <w:tcBorders>
              <w:top w:val="nil"/>
              <w:left w:val="nil"/>
            </w:tcBorders>
          </w:tcPr>
          <w:p w:rsidR="00917F35" w:rsidRDefault="00917F35" w:rsidP="00A554A5">
            <w:pPr>
              <w:pStyle w:val="Infotext"/>
            </w:pPr>
          </w:p>
        </w:tc>
      </w:tr>
      <w:tr w:rsidR="00917F35" w:rsidTr="00A554A5">
        <w:tc>
          <w:tcPr>
            <w:tcW w:w="2791" w:type="pct"/>
            <w:tcBorders>
              <w:bottom w:val="nil"/>
              <w:right w:val="nil"/>
            </w:tcBorders>
          </w:tcPr>
          <w:p w:rsidR="00917F35" w:rsidRDefault="00917F35" w:rsidP="00A554A5">
            <w:pPr>
              <w:pStyle w:val="Infotext"/>
            </w:pPr>
          </w:p>
          <w:p w:rsidR="00917F35" w:rsidRDefault="00917F35" w:rsidP="00A554A5">
            <w:pPr>
              <w:pStyle w:val="Infotext"/>
            </w:pPr>
          </w:p>
        </w:tc>
        <w:tc>
          <w:tcPr>
            <w:tcW w:w="138" w:type="pct"/>
            <w:tcBorders>
              <w:left w:val="nil"/>
              <w:right w:val="nil"/>
            </w:tcBorders>
          </w:tcPr>
          <w:p w:rsidR="00917F35" w:rsidRDefault="00917F35" w:rsidP="00A554A5">
            <w:pPr>
              <w:pStyle w:val="Infotext"/>
            </w:pPr>
          </w:p>
        </w:tc>
        <w:tc>
          <w:tcPr>
            <w:tcW w:w="138" w:type="pct"/>
            <w:tcBorders>
              <w:left w:val="nil"/>
              <w:bottom w:val="nil"/>
              <w:right w:val="nil"/>
            </w:tcBorders>
          </w:tcPr>
          <w:p w:rsidR="00917F35" w:rsidRDefault="00917F35" w:rsidP="00A554A5">
            <w:pPr>
              <w:pStyle w:val="Infotext"/>
            </w:pPr>
          </w:p>
        </w:tc>
        <w:tc>
          <w:tcPr>
            <w:tcW w:w="1932" w:type="pct"/>
            <w:tcBorders>
              <w:left w:val="nil"/>
              <w:bottom w:val="nil"/>
            </w:tcBorders>
          </w:tcPr>
          <w:p w:rsidR="00917F35" w:rsidRDefault="00917F35" w:rsidP="00A554A5">
            <w:pPr>
              <w:pStyle w:val="Infotext"/>
            </w:pPr>
          </w:p>
          <w:p w:rsidR="00917F35" w:rsidRDefault="00917F35" w:rsidP="00A554A5">
            <w:pPr>
              <w:pStyle w:val="Infotext"/>
            </w:pPr>
            <w:r>
              <w:t>On behalf of</w:t>
            </w:r>
          </w:p>
        </w:tc>
      </w:tr>
      <w:tr w:rsidR="00917F35" w:rsidTr="00A554A5">
        <w:tc>
          <w:tcPr>
            <w:tcW w:w="2791" w:type="pct"/>
            <w:tcBorders>
              <w:top w:val="nil"/>
              <w:bottom w:val="nil"/>
            </w:tcBorders>
          </w:tcPr>
          <w:p w:rsidR="00917F35" w:rsidRDefault="00917F35" w:rsidP="00A554A5">
            <w:pPr>
              <w:pStyle w:val="Infotext"/>
            </w:pPr>
            <w:r>
              <w:t xml:space="preserve">Name:  Caroline Eccles </w:t>
            </w:r>
          </w:p>
        </w:tc>
        <w:tc>
          <w:tcPr>
            <w:tcW w:w="138" w:type="pct"/>
            <w:tcBorders>
              <w:bottom w:val="single" w:sz="4" w:space="0" w:color="auto"/>
            </w:tcBorders>
          </w:tcPr>
          <w:p w:rsidR="00917F35" w:rsidRDefault="00917F35" w:rsidP="00A554A5">
            <w:pPr>
              <w:pStyle w:val="Infotext"/>
            </w:pPr>
            <w:r>
              <w:t>x</w:t>
            </w:r>
          </w:p>
        </w:tc>
        <w:tc>
          <w:tcPr>
            <w:tcW w:w="138" w:type="pct"/>
            <w:tcBorders>
              <w:top w:val="nil"/>
              <w:bottom w:val="nil"/>
              <w:right w:val="nil"/>
            </w:tcBorders>
          </w:tcPr>
          <w:p w:rsidR="00917F35" w:rsidRDefault="00917F35" w:rsidP="00A554A5">
            <w:pPr>
              <w:pStyle w:val="Infotext"/>
            </w:pPr>
          </w:p>
        </w:tc>
        <w:tc>
          <w:tcPr>
            <w:tcW w:w="1932" w:type="pct"/>
            <w:tcBorders>
              <w:top w:val="nil"/>
              <w:left w:val="nil"/>
              <w:bottom w:val="nil"/>
            </w:tcBorders>
          </w:tcPr>
          <w:p w:rsidR="00917F35" w:rsidRDefault="00917F35" w:rsidP="00A554A5">
            <w:pPr>
              <w:pStyle w:val="Infotext"/>
            </w:pPr>
            <w:r>
              <w:t>Monitoring Officer</w:t>
            </w:r>
          </w:p>
        </w:tc>
      </w:tr>
      <w:tr w:rsidR="00917F35" w:rsidTr="00A554A5">
        <w:tc>
          <w:tcPr>
            <w:tcW w:w="2791" w:type="pct"/>
            <w:tcBorders>
              <w:top w:val="nil"/>
              <w:right w:val="nil"/>
            </w:tcBorders>
          </w:tcPr>
          <w:p w:rsidR="00917F35" w:rsidRDefault="00917F35" w:rsidP="00A554A5">
            <w:pPr>
              <w:pStyle w:val="Infotext"/>
            </w:pPr>
          </w:p>
          <w:p w:rsidR="00917F35" w:rsidRDefault="00917F35" w:rsidP="00A554A5">
            <w:pPr>
              <w:pStyle w:val="Infotext"/>
            </w:pPr>
            <w:r>
              <w:t>Date:  7</w:t>
            </w:r>
            <w:r w:rsidRPr="003A412B">
              <w:rPr>
                <w:vertAlign w:val="superscript"/>
              </w:rPr>
              <w:t>th</w:t>
            </w:r>
            <w:r>
              <w:t xml:space="preserve"> May 2019</w:t>
            </w:r>
          </w:p>
        </w:tc>
        <w:tc>
          <w:tcPr>
            <w:tcW w:w="138" w:type="pct"/>
            <w:tcBorders>
              <w:left w:val="nil"/>
              <w:right w:val="nil"/>
            </w:tcBorders>
          </w:tcPr>
          <w:p w:rsidR="00917F35" w:rsidRDefault="00917F35" w:rsidP="00A554A5">
            <w:pPr>
              <w:pStyle w:val="Infotext"/>
            </w:pPr>
          </w:p>
        </w:tc>
        <w:tc>
          <w:tcPr>
            <w:tcW w:w="138" w:type="pct"/>
            <w:tcBorders>
              <w:top w:val="nil"/>
              <w:left w:val="nil"/>
              <w:right w:val="nil"/>
            </w:tcBorders>
          </w:tcPr>
          <w:p w:rsidR="00917F35" w:rsidRDefault="00917F35" w:rsidP="00A554A5">
            <w:pPr>
              <w:pStyle w:val="Infotext"/>
            </w:pPr>
          </w:p>
        </w:tc>
        <w:tc>
          <w:tcPr>
            <w:tcW w:w="1932" w:type="pct"/>
            <w:tcBorders>
              <w:top w:val="nil"/>
              <w:left w:val="nil"/>
            </w:tcBorders>
          </w:tcPr>
          <w:p w:rsidR="00917F35" w:rsidRDefault="00917F35" w:rsidP="00A554A5">
            <w:pPr>
              <w:pStyle w:val="Infotext"/>
            </w:pPr>
          </w:p>
          <w:p w:rsidR="00917F35" w:rsidRDefault="00917F35" w:rsidP="00A554A5">
            <w:pPr>
              <w:pStyle w:val="Infotext"/>
            </w:pPr>
          </w:p>
        </w:tc>
      </w:tr>
    </w:tbl>
    <w:p w:rsidR="00917F35" w:rsidRPr="00A631CA" w:rsidRDefault="00917F35" w:rsidP="00917F35">
      <w:pPr>
        <w:ind w:left="567"/>
        <w:jc w:val="both"/>
        <w:rPr>
          <w:rFonts w:cs="Arial"/>
          <w:b/>
        </w:rPr>
      </w:pPr>
    </w:p>
    <w:p w:rsidR="00917F35" w:rsidRDefault="00917F35" w:rsidP="00917F35"/>
    <w:p w:rsidR="00917F35" w:rsidRDefault="00917F35" w:rsidP="00917F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360"/>
        <w:gridCol w:w="270"/>
        <w:gridCol w:w="3197"/>
      </w:tblGrid>
      <w:tr w:rsidR="00917F35" w:rsidTr="00917F35">
        <w:tc>
          <w:tcPr>
            <w:tcW w:w="4698" w:type="dxa"/>
            <w:tcBorders>
              <w:bottom w:val="nil"/>
              <w:right w:val="nil"/>
            </w:tcBorders>
          </w:tcPr>
          <w:p w:rsidR="00917F35" w:rsidRDefault="00917F35" w:rsidP="00A554A5">
            <w:pPr>
              <w:pStyle w:val="Infotext"/>
            </w:pPr>
          </w:p>
          <w:p w:rsidR="00917F35" w:rsidRDefault="00917F35" w:rsidP="00A554A5">
            <w:pPr>
              <w:pStyle w:val="Infotext"/>
            </w:pPr>
          </w:p>
        </w:tc>
        <w:tc>
          <w:tcPr>
            <w:tcW w:w="360" w:type="dxa"/>
            <w:tcBorders>
              <w:left w:val="nil"/>
              <w:right w:val="nil"/>
            </w:tcBorders>
          </w:tcPr>
          <w:p w:rsidR="00917F35" w:rsidRDefault="00917F35" w:rsidP="00A554A5">
            <w:pPr>
              <w:pStyle w:val="Infotext"/>
            </w:pPr>
          </w:p>
        </w:tc>
        <w:tc>
          <w:tcPr>
            <w:tcW w:w="270" w:type="dxa"/>
            <w:tcBorders>
              <w:left w:val="nil"/>
              <w:bottom w:val="nil"/>
              <w:right w:val="nil"/>
            </w:tcBorders>
          </w:tcPr>
          <w:p w:rsidR="00917F35" w:rsidRDefault="00917F35" w:rsidP="00A554A5">
            <w:pPr>
              <w:pStyle w:val="Infotext"/>
            </w:pPr>
          </w:p>
        </w:tc>
        <w:tc>
          <w:tcPr>
            <w:tcW w:w="3197" w:type="dxa"/>
            <w:tcBorders>
              <w:left w:val="nil"/>
              <w:bottom w:val="nil"/>
            </w:tcBorders>
          </w:tcPr>
          <w:p w:rsidR="00917F35" w:rsidRDefault="00917F35" w:rsidP="00A554A5">
            <w:pPr>
              <w:pStyle w:val="Infotext"/>
            </w:pPr>
          </w:p>
          <w:p w:rsidR="00917F35" w:rsidRDefault="00917F35" w:rsidP="00A554A5">
            <w:pPr>
              <w:pStyle w:val="Infotext"/>
            </w:pPr>
          </w:p>
        </w:tc>
      </w:tr>
      <w:tr w:rsidR="00917F35" w:rsidTr="00917F35">
        <w:tc>
          <w:tcPr>
            <w:tcW w:w="4698" w:type="dxa"/>
            <w:tcBorders>
              <w:top w:val="nil"/>
              <w:bottom w:val="nil"/>
            </w:tcBorders>
          </w:tcPr>
          <w:p w:rsidR="00917F35" w:rsidRDefault="00917F35" w:rsidP="00A554A5">
            <w:pPr>
              <w:pStyle w:val="Infotext"/>
            </w:pPr>
            <w:r>
              <w:t>Name:  Alex Dewsnap</w:t>
            </w:r>
          </w:p>
        </w:tc>
        <w:tc>
          <w:tcPr>
            <w:tcW w:w="360" w:type="dxa"/>
            <w:tcBorders>
              <w:bottom w:val="single" w:sz="4" w:space="0" w:color="auto"/>
            </w:tcBorders>
          </w:tcPr>
          <w:p w:rsidR="00917F35" w:rsidRDefault="00917F35" w:rsidP="00A554A5">
            <w:pPr>
              <w:pStyle w:val="Infotext"/>
            </w:pPr>
            <w:r>
              <w:t>X</w:t>
            </w:r>
          </w:p>
        </w:tc>
        <w:tc>
          <w:tcPr>
            <w:tcW w:w="270" w:type="dxa"/>
            <w:tcBorders>
              <w:top w:val="nil"/>
              <w:bottom w:val="nil"/>
              <w:right w:val="nil"/>
            </w:tcBorders>
          </w:tcPr>
          <w:p w:rsidR="00917F35" w:rsidRDefault="00917F35" w:rsidP="00A554A5">
            <w:pPr>
              <w:pStyle w:val="Infotext"/>
            </w:pPr>
          </w:p>
        </w:tc>
        <w:tc>
          <w:tcPr>
            <w:tcW w:w="3197" w:type="dxa"/>
            <w:tcBorders>
              <w:top w:val="nil"/>
              <w:left w:val="nil"/>
              <w:bottom w:val="nil"/>
            </w:tcBorders>
          </w:tcPr>
          <w:p w:rsidR="00917F35" w:rsidRDefault="00917F35" w:rsidP="00A554A5">
            <w:pPr>
              <w:pStyle w:val="Infotext"/>
            </w:pPr>
            <w:r>
              <w:t>Director of Strategy</w:t>
            </w:r>
          </w:p>
        </w:tc>
      </w:tr>
      <w:tr w:rsidR="00917F35" w:rsidTr="00917F35">
        <w:tc>
          <w:tcPr>
            <w:tcW w:w="4698" w:type="dxa"/>
            <w:tcBorders>
              <w:top w:val="nil"/>
              <w:right w:val="nil"/>
            </w:tcBorders>
          </w:tcPr>
          <w:p w:rsidR="00917F35" w:rsidRDefault="00917F35" w:rsidP="00A554A5">
            <w:pPr>
              <w:pStyle w:val="Infotext"/>
            </w:pPr>
            <w:r>
              <w:t xml:space="preserve"> </w:t>
            </w:r>
          </w:p>
          <w:p w:rsidR="00917F35" w:rsidRDefault="00917F35" w:rsidP="00A554A5">
            <w:pPr>
              <w:pStyle w:val="Infotext"/>
            </w:pPr>
            <w:r>
              <w:t>Date:  9 May 2019</w:t>
            </w:r>
          </w:p>
        </w:tc>
        <w:tc>
          <w:tcPr>
            <w:tcW w:w="360" w:type="dxa"/>
            <w:tcBorders>
              <w:left w:val="nil"/>
              <w:bottom w:val="single" w:sz="4" w:space="0" w:color="auto"/>
              <w:right w:val="nil"/>
            </w:tcBorders>
          </w:tcPr>
          <w:p w:rsidR="00917F35" w:rsidRDefault="00917F35" w:rsidP="00A554A5">
            <w:pPr>
              <w:pStyle w:val="Infotext"/>
            </w:pPr>
          </w:p>
        </w:tc>
        <w:tc>
          <w:tcPr>
            <w:tcW w:w="270" w:type="dxa"/>
            <w:tcBorders>
              <w:top w:val="nil"/>
              <w:left w:val="nil"/>
              <w:right w:val="nil"/>
            </w:tcBorders>
          </w:tcPr>
          <w:p w:rsidR="00917F35" w:rsidRDefault="00917F35" w:rsidP="00A554A5">
            <w:pPr>
              <w:pStyle w:val="Infotext"/>
            </w:pPr>
          </w:p>
        </w:tc>
        <w:tc>
          <w:tcPr>
            <w:tcW w:w="3197" w:type="dxa"/>
            <w:tcBorders>
              <w:top w:val="nil"/>
              <w:left w:val="nil"/>
            </w:tcBorders>
          </w:tcPr>
          <w:p w:rsidR="00917F35" w:rsidRDefault="00917F35" w:rsidP="00A554A5">
            <w:pPr>
              <w:pStyle w:val="Infotext"/>
            </w:pPr>
          </w:p>
        </w:tc>
      </w:tr>
    </w:tbl>
    <w:p w:rsidR="00917F35" w:rsidRDefault="00917F35" w:rsidP="00917F35"/>
    <w:p w:rsidR="00917F35" w:rsidRDefault="00917F35" w:rsidP="00917F35"/>
    <w:p w:rsidR="00917F35" w:rsidRDefault="00917F35" w:rsidP="00917F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917F35" w:rsidTr="00A554A5">
        <w:trPr>
          <w:trHeight w:val="965"/>
        </w:trPr>
        <w:tc>
          <w:tcPr>
            <w:tcW w:w="3025" w:type="pct"/>
            <w:tcBorders>
              <w:right w:val="nil"/>
            </w:tcBorders>
          </w:tcPr>
          <w:p w:rsidR="00917F35" w:rsidRDefault="00917F35" w:rsidP="00A554A5">
            <w:pPr>
              <w:pStyle w:val="Infotext"/>
              <w:rPr>
                <w:rFonts w:ascii="Arial Black" w:hAnsi="Arial Black"/>
              </w:rPr>
            </w:pPr>
            <w:r>
              <w:rPr>
                <w:rFonts w:ascii="Arial Black" w:hAnsi="Arial Black"/>
              </w:rPr>
              <w:t>Ward Councillors notified:</w:t>
            </w:r>
          </w:p>
          <w:p w:rsidR="00917F35" w:rsidRDefault="00917F35" w:rsidP="00A554A5">
            <w:pPr>
              <w:pStyle w:val="Infotext"/>
            </w:pPr>
          </w:p>
        </w:tc>
        <w:tc>
          <w:tcPr>
            <w:tcW w:w="1975" w:type="pct"/>
            <w:tcBorders>
              <w:left w:val="nil"/>
            </w:tcBorders>
          </w:tcPr>
          <w:p w:rsidR="00917F35" w:rsidRPr="00A406F3" w:rsidRDefault="00917F35" w:rsidP="00A554A5">
            <w:pPr>
              <w:pStyle w:val="Infotext"/>
              <w:spacing w:before="120"/>
              <w:rPr>
                <w:b/>
              </w:rPr>
            </w:pPr>
            <w:r w:rsidRPr="00A406F3">
              <w:rPr>
                <w:b/>
              </w:rPr>
              <w:t xml:space="preserve">NO </w:t>
            </w:r>
          </w:p>
          <w:p w:rsidR="00917F35" w:rsidRPr="003D78F6" w:rsidRDefault="00917F35" w:rsidP="00A554A5">
            <w:pPr>
              <w:pStyle w:val="Infotext"/>
              <w:rPr>
                <w:i/>
                <w:sz w:val="24"/>
                <w:szCs w:val="24"/>
              </w:rPr>
            </w:pPr>
          </w:p>
        </w:tc>
      </w:tr>
    </w:tbl>
    <w:p w:rsidR="00917F35" w:rsidRDefault="00917F35" w:rsidP="00917F35"/>
    <w:p w:rsidR="00917F35" w:rsidRPr="00692831" w:rsidRDefault="00917F35" w:rsidP="00917F35"/>
    <w:p w:rsidR="00917F35" w:rsidRPr="00AB6CE9" w:rsidRDefault="00917F35" w:rsidP="00917F35">
      <w:pPr>
        <w:pStyle w:val="Heading1"/>
      </w:pPr>
      <w:r>
        <w:br w:type="page"/>
      </w:r>
      <w:r w:rsidRPr="00AB6CE9">
        <w:lastRenderedPageBreak/>
        <w:t>Contact Details and Background Papers</w:t>
      </w:r>
    </w:p>
    <w:p w:rsidR="00917F35" w:rsidRDefault="00917F35" w:rsidP="00917F35">
      <w:pPr>
        <w:keepNext/>
        <w:ind w:left="567"/>
        <w:rPr>
          <w:rFonts w:cs="Arial"/>
        </w:rPr>
      </w:pPr>
    </w:p>
    <w:p w:rsidR="00917F35" w:rsidRDefault="00917F35" w:rsidP="00917F35">
      <w:pPr>
        <w:pStyle w:val="Infotext"/>
        <w:rPr>
          <w:sz w:val="24"/>
          <w:szCs w:val="24"/>
        </w:rPr>
      </w:pPr>
      <w:r w:rsidRPr="00D914D2">
        <w:rPr>
          <w:b/>
        </w:rPr>
        <w:t>Contact:</w:t>
      </w:r>
      <w:r>
        <w:rPr>
          <w:b/>
        </w:rPr>
        <w:t xml:space="preserve"> </w:t>
      </w:r>
      <w:r>
        <w:rPr>
          <w:b/>
        </w:rPr>
        <w:t xml:space="preserve"> </w:t>
      </w:r>
      <w:r>
        <w:rPr>
          <w:sz w:val="24"/>
          <w:szCs w:val="24"/>
        </w:rPr>
        <w:t>Jonathan Evans,</w:t>
      </w:r>
      <w:r>
        <w:rPr>
          <w:sz w:val="24"/>
          <w:szCs w:val="24"/>
        </w:rPr>
        <w:t xml:space="preserve"> </w:t>
      </w:r>
      <w:r>
        <w:rPr>
          <w:sz w:val="24"/>
          <w:szCs w:val="24"/>
        </w:rPr>
        <w:t xml:space="preserve">jonathan.evans@harrow.gov.uk  </w:t>
      </w:r>
    </w:p>
    <w:p w:rsidR="00917F35" w:rsidRPr="00FD2B63" w:rsidRDefault="00917F35" w:rsidP="00917F35">
      <w:pPr>
        <w:pStyle w:val="Infotext"/>
        <w:rPr>
          <w:sz w:val="24"/>
          <w:szCs w:val="24"/>
        </w:rPr>
      </w:pPr>
      <w:r>
        <w:rPr>
          <w:sz w:val="24"/>
          <w:szCs w:val="24"/>
        </w:rPr>
        <w:t xml:space="preserve">DD: </w:t>
      </w:r>
      <w:r>
        <w:rPr>
          <w:color w:val="1F497D"/>
          <w:sz w:val="24"/>
          <w:szCs w:val="24"/>
          <w:lang w:val="en"/>
        </w:rPr>
        <w:t>020 8736 6870</w:t>
      </w:r>
    </w:p>
    <w:p w:rsidR="00917F35" w:rsidRPr="00FD2B63" w:rsidRDefault="00917F35" w:rsidP="00917F35">
      <w:pPr>
        <w:rPr>
          <w:szCs w:val="24"/>
        </w:rPr>
      </w:pPr>
    </w:p>
    <w:p w:rsidR="00917F35" w:rsidRDefault="00917F35" w:rsidP="00917F35">
      <w:pPr>
        <w:pStyle w:val="Infotext"/>
      </w:pPr>
      <w:r w:rsidRPr="00D914D2">
        <w:rPr>
          <w:b/>
        </w:rPr>
        <w:t>Background Papers</w:t>
      </w:r>
      <w:r>
        <w:t>:</w:t>
      </w:r>
      <w:r>
        <w:t xml:space="preserve"> </w:t>
      </w:r>
      <w:r>
        <w:t xml:space="preserve"> Report considered by the Chief </w:t>
      </w:r>
      <w:proofErr w:type="spellStart"/>
      <w:r>
        <w:t>Officers’Employment</w:t>
      </w:r>
      <w:proofErr w:type="spellEnd"/>
      <w:r>
        <w:t xml:space="preserve"> Panel – 26 February 2019</w:t>
      </w:r>
    </w:p>
    <w:p w:rsidR="00917F35" w:rsidRDefault="00917F35" w:rsidP="00917F35">
      <w:pPr>
        <w:pStyle w:val="Infotext"/>
      </w:pPr>
    </w:p>
    <w:p w:rsidR="00917F35" w:rsidRDefault="00917F35" w:rsidP="00917F35">
      <w:pPr>
        <w:pStyle w:val="Infotext"/>
      </w:pPr>
      <w:r>
        <w:t>Minutes of the Chief Officers’ Employment Panel – 26 February 2019, 5 March 2019 and 7 March 2019</w:t>
      </w:r>
    </w:p>
    <w:p w:rsidR="002A2389" w:rsidRDefault="002A2389">
      <w:bookmarkStart w:id="0" w:name="_GoBack"/>
      <w:bookmarkEnd w:id="0"/>
    </w:p>
    <w:sectPr w:rsidR="002A2389" w:rsidSect="00FF71E5">
      <w:type w:val="continuous"/>
      <w:pgSz w:w="11909" w:h="16834" w:code="9"/>
      <w:pgMar w:top="1008" w:right="1800" w:bottom="1152"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EF" w:rsidRDefault="00E609EF">
      <w:r>
        <w:separator/>
      </w:r>
    </w:p>
  </w:endnote>
  <w:endnote w:type="continuationSeparator" w:id="0">
    <w:p w:rsidR="00E609EF" w:rsidRDefault="00E6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EF" w:rsidRDefault="00E609EF">
      <w:r>
        <w:separator/>
      </w:r>
    </w:p>
  </w:footnote>
  <w:footnote w:type="continuationSeparator" w:id="0">
    <w:p w:rsidR="00E609EF" w:rsidRDefault="00E60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42281C"/>
    <w:multiLevelType w:val="hybridMultilevel"/>
    <w:tmpl w:val="E594004A"/>
    <w:lvl w:ilvl="0" w:tplc="75F6ED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DC3909"/>
    <w:multiLevelType w:val="hybridMultilevel"/>
    <w:tmpl w:val="A9162E52"/>
    <w:lvl w:ilvl="0" w:tplc="113ECF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028D4"/>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5A531B6"/>
    <w:multiLevelType w:val="hybridMultilevel"/>
    <w:tmpl w:val="1108A324"/>
    <w:lvl w:ilvl="0" w:tplc="8850F128">
      <w:start w:val="1"/>
      <w:numFmt w:val="bullet"/>
      <w:lvlText w:val=""/>
      <w:lvlJc w:val="left"/>
      <w:pPr>
        <w:ind w:left="792" w:hanging="432"/>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CD6512"/>
    <w:multiLevelType w:val="hybridMultilevel"/>
    <w:tmpl w:val="A4EC81EE"/>
    <w:lvl w:ilvl="0" w:tplc="CD48BFD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3"/>
  </w:num>
  <w:num w:numId="10">
    <w:abstractNumId w:val="10"/>
  </w:num>
  <w:num w:numId="11">
    <w:abstractNumId w:val="15"/>
  </w:num>
  <w:num w:numId="12">
    <w:abstractNumId w:val="9"/>
  </w:num>
  <w:num w:numId="13">
    <w:abstractNumId w:val="2"/>
  </w:num>
  <w:num w:numId="14">
    <w:abstractNumId w:val="5"/>
  </w:num>
  <w:num w:numId="15">
    <w:abstractNumId w:val="14"/>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303"/>
    <w:rsid w:val="00057F10"/>
    <w:rsid w:val="000633A2"/>
    <w:rsid w:val="00071EB4"/>
    <w:rsid w:val="00077298"/>
    <w:rsid w:val="000A6659"/>
    <w:rsid w:val="000B0E6F"/>
    <w:rsid w:val="000B6DBB"/>
    <w:rsid w:val="000D2BF2"/>
    <w:rsid w:val="000F65C0"/>
    <w:rsid w:val="001939BA"/>
    <w:rsid w:val="001A6EB0"/>
    <w:rsid w:val="001B441D"/>
    <w:rsid w:val="001C5225"/>
    <w:rsid w:val="001E0219"/>
    <w:rsid w:val="00213BE7"/>
    <w:rsid w:val="00231A1D"/>
    <w:rsid w:val="00244120"/>
    <w:rsid w:val="00293F9F"/>
    <w:rsid w:val="002A2389"/>
    <w:rsid w:val="002C08E2"/>
    <w:rsid w:val="002C1794"/>
    <w:rsid w:val="002E6637"/>
    <w:rsid w:val="002E77E3"/>
    <w:rsid w:val="00332947"/>
    <w:rsid w:val="00333EB4"/>
    <w:rsid w:val="00345915"/>
    <w:rsid w:val="00400032"/>
    <w:rsid w:val="0042394B"/>
    <w:rsid w:val="00473B08"/>
    <w:rsid w:val="00474B5F"/>
    <w:rsid w:val="004A3202"/>
    <w:rsid w:val="004A3CE6"/>
    <w:rsid w:val="004B2C9D"/>
    <w:rsid w:val="004B4A47"/>
    <w:rsid w:val="004E667D"/>
    <w:rsid w:val="004E6AF9"/>
    <w:rsid w:val="00597314"/>
    <w:rsid w:val="005A61AF"/>
    <w:rsid w:val="005D0886"/>
    <w:rsid w:val="005E384D"/>
    <w:rsid w:val="005F2181"/>
    <w:rsid w:val="005F724B"/>
    <w:rsid w:val="0063072B"/>
    <w:rsid w:val="00662891"/>
    <w:rsid w:val="006628B7"/>
    <w:rsid w:val="00675FCB"/>
    <w:rsid w:val="006C3914"/>
    <w:rsid w:val="006D3648"/>
    <w:rsid w:val="0074184E"/>
    <w:rsid w:val="00743829"/>
    <w:rsid w:val="00755F8D"/>
    <w:rsid w:val="00796503"/>
    <w:rsid w:val="007C5DCE"/>
    <w:rsid w:val="007D2BDA"/>
    <w:rsid w:val="007D56C8"/>
    <w:rsid w:val="007E3934"/>
    <w:rsid w:val="007E7303"/>
    <w:rsid w:val="008212A0"/>
    <w:rsid w:val="00837F53"/>
    <w:rsid w:val="008D1750"/>
    <w:rsid w:val="008D7800"/>
    <w:rsid w:val="008E2910"/>
    <w:rsid w:val="008E4913"/>
    <w:rsid w:val="00900464"/>
    <w:rsid w:val="0090100E"/>
    <w:rsid w:val="00917F35"/>
    <w:rsid w:val="0093767E"/>
    <w:rsid w:val="0095024B"/>
    <w:rsid w:val="00972A02"/>
    <w:rsid w:val="0099517C"/>
    <w:rsid w:val="009A0937"/>
    <w:rsid w:val="009B2ECD"/>
    <w:rsid w:val="009B7914"/>
    <w:rsid w:val="009F430B"/>
    <w:rsid w:val="00A566E7"/>
    <w:rsid w:val="00A940D3"/>
    <w:rsid w:val="00A96FCA"/>
    <w:rsid w:val="00AA4BE8"/>
    <w:rsid w:val="00AC0AAB"/>
    <w:rsid w:val="00AC7BA9"/>
    <w:rsid w:val="00B0425E"/>
    <w:rsid w:val="00B900E2"/>
    <w:rsid w:val="00B9118E"/>
    <w:rsid w:val="00BD684A"/>
    <w:rsid w:val="00C32DAE"/>
    <w:rsid w:val="00C40E24"/>
    <w:rsid w:val="00C92D9A"/>
    <w:rsid w:val="00C96EF5"/>
    <w:rsid w:val="00D32B51"/>
    <w:rsid w:val="00D34668"/>
    <w:rsid w:val="00D3740E"/>
    <w:rsid w:val="00D40335"/>
    <w:rsid w:val="00D82F57"/>
    <w:rsid w:val="00D841A5"/>
    <w:rsid w:val="00D914D2"/>
    <w:rsid w:val="00DA25DB"/>
    <w:rsid w:val="00DD4251"/>
    <w:rsid w:val="00E02B50"/>
    <w:rsid w:val="00E03F11"/>
    <w:rsid w:val="00E06DC8"/>
    <w:rsid w:val="00E220B5"/>
    <w:rsid w:val="00E33D93"/>
    <w:rsid w:val="00E609EF"/>
    <w:rsid w:val="00E8515B"/>
    <w:rsid w:val="00EF2F91"/>
    <w:rsid w:val="00F33EE3"/>
    <w:rsid w:val="00F4213B"/>
    <w:rsid w:val="00F849ED"/>
    <w:rsid w:val="00F92398"/>
    <w:rsid w:val="00FD31A0"/>
    <w:rsid w:val="00FF6AAD"/>
    <w:rsid w:val="00FF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link w:val="Heading1Char"/>
    <w:qFormat/>
    <w:rsid w:val="00F92398"/>
    <w:pPr>
      <w:outlineLvl w:val="0"/>
    </w:pPr>
    <w:rPr>
      <w:rFonts w:ascii="Arial Black" w:hAnsi="Arial Black"/>
      <w:b w:val="0"/>
      <w:sz w:val="32"/>
    </w:rPr>
  </w:style>
  <w:style w:type="paragraph" w:styleId="Heading2">
    <w:name w:val="heading 2"/>
    <w:basedOn w:val="Normal"/>
    <w:next w:val="Normal"/>
    <w:link w:val="Heading2Char"/>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C32DAE"/>
    <w:pPr>
      <w:spacing w:before="100" w:beforeAutospacing="1" w:after="100" w:afterAutospacing="1"/>
    </w:pPr>
    <w:rPr>
      <w:rFonts w:ascii="Times New Roman" w:hAnsi="Times New Roman"/>
      <w:szCs w:val="24"/>
      <w:lang w:val="en-US"/>
    </w:rPr>
  </w:style>
  <w:style w:type="paragraph" w:customStyle="1" w:styleId="CharCharCharCharCharCharCharChar">
    <w:name w:val="Char Char Char Char Char Char Char Char"/>
    <w:basedOn w:val="Normal"/>
    <w:rsid w:val="001E0219"/>
    <w:pPr>
      <w:spacing w:after="160" w:line="240" w:lineRule="exact"/>
    </w:pPr>
    <w:rPr>
      <w:rFonts w:ascii="Tahoma" w:hAnsi="Tahoma"/>
      <w:sz w:val="20"/>
      <w:lang w:eastAsia="en-GB"/>
    </w:rPr>
  </w:style>
  <w:style w:type="paragraph" w:customStyle="1" w:styleId="CharCharCharChar2">
    <w:name w:val="Char Char Char Char2"/>
    <w:basedOn w:val="Normal"/>
    <w:locked/>
    <w:rsid w:val="00332947"/>
    <w:pPr>
      <w:spacing w:after="160" w:line="240" w:lineRule="exact"/>
    </w:pPr>
    <w:rPr>
      <w:rFonts w:ascii="Verdana" w:eastAsia="MS ??" w:hAnsi="Verdana" w:cs="Verdana"/>
      <w:sz w:val="20"/>
      <w:lang w:val="en-US"/>
    </w:rPr>
  </w:style>
  <w:style w:type="character" w:styleId="PageNumber">
    <w:name w:val="page number"/>
    <w:rsid w:val="00213BE7"/>
  </w:style>
  <w:style w:type="paragraph" w:customStyle="1" w:styleId="CharCharCharChar">
    <w:name w:val="Char Char Char Char"/>
    <w:basedOn w:val="Normal"/>
    <w:locked/>
    <w:rsid w:val="00213BE7"/>
    <w:pPr>
      <w:spacing w:after="160" w:line="240" w:lineRule="exact"/>
    </w:pPr>
    <w:rPr>
      <w:rFonts w:ascii="Verdana" w:hAnsi="Verdana"/>
      <w:sz w:val="20"/>
      <w:lang w:val="en-US"/>
    </w:rPr>
  </w:style>
  <w:style w:type="character" w:styleId="Hyperlink">
    <w:name w:val="Hyperlink"/>
    <w:rsid w:val="00213BE7"/>
    <w:rPr>
      <w:color w:val="0000FF"/>
      <w:u w:val="single"/>
    </w:rPr>
  </w:style>
  <w:style w:type="paragraph" w:styleId="ListParagraph">
    <w:name w:val="List Paragraph"/>
    <w:basedOn w:val="Normal"/>
    <w:uiPriority w:val="34"/>
    <w:qFormat/>
    <w:rsid w:val="00213BE7"/>
    <w:pPr>
      <w:ind w:left="720"/>
    </w:pPr>
    <w:rPr>
      <w:rFonts w:eastAsia="Calibri" w:cs="Arial"/>
      <w:color w:val="000000"/>
      <w:sz w:val="22"/>
      <w:szCs w:val="22"/>
      <w:lang w:eastAsia="en-GB"/>
    </w:rPr>
  </w:style>
  <w:style w:type="paragraph" w:styleId="BodyText2">
    <w:name w:val="Body Text 2"/>
    <w:basedOn w:val="Normal"/>
    <w:link w:val="BodyText2Char"/>
    <w:rsid w:val="004A3202"/>
    <w:pPr>
      <w:spacing w:after="120" w:line="480" w:lineRule="auto"/>
    </w:pPr>
  </w:style>
  <w:style w:type="character" w:customStyle="1" w:styleId="BodyText2Char">
    <w:name w:val="Body Text 2 Char"/>
    <w:basedOn w:val="DefaultParagraphFont"/>
    <w:link w:val="BodyText2"/>
    <w:rsid w:val="004A3202"/>
    <w:rPr>
      <w:rFonts w:ascii="Arial" w:hAnsi="Arial"/>
      <w:sz w:val="24"/>
      <w:lang w:eastAsia="en-US"/>
    </w:rPr>
  </w:style>
  <w:style w:type="character" w:customStyle="1" w:styleId="Heading2Char">
    <w:name w:val="Heading 2 Char"/>
    <w:link w:val="Heading2"/>
    <w:rsid w:val="004A3202"/>
    <w:rPr>
      <w:rFonts w:ascii="Arial" w:hAnsi="Arial" w:cs="Arial"/>
      <w:b/>
      <w:bCs/>
      <w:sz w:val="28"/>
      <w:szCs w:val="32"/>
      <w:lang w:eastAsia="en-US"/>
    </w:rPr>
  </w:style>
  <w:style w:type="character" w:customStyle="1" w:styleId="Heading1Char">
    <w:name w:val="Heading 1 Char"/>
    <w:link w:val="Heading1"/>
    <w:rsid w:val="004A3202"/>
    <w:rPr>
      <w:rFonts w:ascii="Arial Black" w:hAnsi="Arial Black" w:cs="Arial"/>
      <w:bCs/>
      <w:sz w:val="32"/>
      <w:szCs w:val="32"/>
      <w:lang w:eastAsia="en-US"/>
    </w:rPr>
  </w:style>
  <w:style w:type="paragraph" w:styleId="BodyTextIndent">
    <w:name w:val="Body Text Indent"/>
    <w:basedOn w:val="Normal"/>
    <w:link w:val="BodyTextIndentChar"/>
    <w:rsid w:val="004A3202"/>
    <w:pPr>
      <w:spacing w:after="120"/>
      <w:ind w:left="283"/>
    </w:pPr>
  </w:style>
  <w:style w:type="character" w:customStyle="1" w:styleId="BodyTextIndentChar">
    <w:name w:val="Body Text Indent Char"/>
    <w:basedOn w:val="DefaultParagraphFont"/>
    <w:link w:val="BodyTextIndent"/>
    <w:rsid w:val="004A3202"/>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11448</CharactersWithSpaces>
  <SharedDoc>false</SharedDoc>
  <HLinks>
    <vt:vector size="12" baseType="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dharris</cp:lastModifiedBy>
  <cp:revision>5</cp:revision>
  <cp:lastPrinted>2007-07-12T09:53:00Z</cp:lastPrinted>
  <dcterms:created xsi:type="dcterms:W3CDTF">2019-05-10T13:09:00Z</dcterms:created>
  <dcterms:modified xsi:type="dcterms:W3CDTF">2019-05-10T13:20:00Z</dcterms:modified>
</cp:coreProperties>
</file>